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31DD7" w14:textId="77777777" w:rsidR="002C4985" w:rsidRPr="009A2FFB" w:rsidRDefault="002C4985" w:rsidP="00672D96">
      <w:pPr>
        <w:jc w:val="center"/>
        <w:rPr>
          <w:rFonts w:ascii="Century Gothic" w:hAnsi="Century Gothic"/>
        </w:rPr>
      </w:pPr>
      <w:r w:rsidRPr="009A2FFB">
        <w:rPr>
          <w:rFonts w:ascii="Century Gothic" w:hAnsi="Century Gothic"/>
        </w:rPr>
        <w:t>BOARD OF ADJUSTMENT</w:t>
      </w:r>
    </w:p>
    <w:p w14:paraId="672A6659" w14:textId="77777777" w:rsidR="002C4985" w:rsidRPr="009A2FFB" w:rsidRDefault="002C4985" w:rsidP="002C4985">
      <w:pPr>
        <w:rPr>
          <w:rFonts w:ascii="Century Gothic" w:hAnsi="Century Gothic"/>
        </w:rPr>
      </w:pPr>
    </w:p>
    <w:p w14:paraId="1BF01E8C" w14:textId="77777777" w:rsidR="002C4985" w:rsidRPr="009A2FFB" w:rsidRDefault="002C4985" w:rsidP="002C4985">
      <w:pPr>
        <w:pStyle w:val="Heading1"/>
        <w:rPr>
          <w:rFonts w:ascii="Century Gothic" w:hAnsi="Century Gothic"/>
        </w:rPr>
      </w:pPr>
      <w:r w:rsidRPr="009A2FFB">
        <w:rPr>
          <w:rFonts w:ascii="Century Gothic" w:hAnsi="Century Gothic"/>
        </w:rPr>
        <w:t xml:space="preserve">VARIANCE </w:t>
      </w:r>
      <w:r w:rsidR="00262ECF" w:rsidRPr="009A2FFB">
        <w:rPr>
          <w:rFonts w:ascii="Century Gothic" w:hAnsi="Century Gothic"/>
        </w:rPr>
        <w:t>DECISION FORM</w:t>
      </w:r>
      <w:r w:rsidR="004732A9">
        <w:rPr>
          <w:rFonts w:ascii="Century Gothic" w:hAnsi="Century Gothic"/>
        </w:rPr>
        <w:t xml:space="preserve"> – </w:t>
      </w:r>
      <w:r w:rsidR="00C115D2">
        <w:rPr>
          <w:rFonts w:ascii="Century Gothic" w:hAnsi="Century Gothic"/>
        </w:rPr>
        <w:t>GENERAL</w:t>
      </w:r>
      <w:r w:rsidR="004732A9">
        <w:rPr>
          <w:rFonts w:ascii="Century Gothic" w:hAnsi="Century Gothic"/>
        </w:rPr>
        <w:t xml:space="preserve"> ZONING</w:t>
      </w:r>
    </w:p>
    <w:p w14:paraId="10C3F5E5" w14:textId="77777777" w:rsidR="002C4985" w:rsidRPr="002F55B2" w:rsidRDefault="002F55B2" w:rsidP="002F55B2">
      <w:pPr>
        <w:jc w:val="center"/>
        <w:rPr>
          <w:rFonts w:ascii="Century Gothic" w:hAnsi="Century Gothic"/>
          <w:i/>
        </w:rPr>
      </w:pPr>
      <w:r w:rsidRPr="002F55B2">
        <w:rPr>
          <w:rFonts w:ascii="Century Gothic" w:hAnsi="Century Gothic"/>
          <w:i/>
        </w:rPr>
        <w:t>All BOA Members Must Complete</w:t>
      </w:r>
      <w:r w:rsidR="005D2A6F">
        <w:rPr>
          <w:rFonts w:ascii="Century Gothic" w:hAnsi="Century Gothic"/>
          <w:i/>
        </w:rPr>
        <w:t xml:space="preserve"> Individually</w:t>
      </w:r>
    </w:p>
    <w:p w14:paraId="0A37501D" w14:textId="77777777" w:rsidR="002F55B2" w:rsidRPr="002F55B2" w:rsidRDefault="002F55B2" w:rsidP="002F55B2">
      <w:pPr>
        <w:rPr>
          <w:rFonts w:ascii="Century Gothic" w:hAnsi="Century Gothic"/>
        </w:rPr>
      </w:pPr>
    </w:p>
    <w:p w14:paraId="3C540306" w14:textId="77777777" w:rsidR="006B1D31" w:rsidRPr="00591B24" w:rsidRDefault="00591B24" w:rsidP="006B7E04">
      <w:pPr>
        <w:rPr>
          <w:rFonts w:ascii="Century Gothic" w:hAnsi="Century Gothic"/>
          <w:b/>
        </w:rPr>
      </w:pPr>
      <w:r w:rsidRPr="00591B24">
        <w:rPr>
          <w:rFonts w:ascii="Century Gothic" w:hAnsi="Century Gothic"/>
          <w:b/>
        </w:rPr>
        <w:t>The BOA may only grant a variance if the applicant provides evidence that they meet all</w:t>
      </w:r>
      <w:r w:rsidR="006B7E04" w:rsidRPr="00591B24">
        <w:rPr>
          <w:rFonts w:ascii="Century Gothic" w:hAnsi="Century Gothic"/>
          <w:b/>
        </w:rPr>
        <w:t xml:space="preserve"> </w:t>
      </w:r>
      <w:r w:rsidRPr="00591B24">
        <w:rPr>
          <w:rFonts w:ascii="Century Gothic" w:hAnsi="Century Gothic"/>
          <w:b/>
        </w:rPr>
        <w:t xml:space="preserve">three </w:t>
      </w:r>
      <w:r w:rsidR="002F55B2" w:rsidRPr="00591B24">
        <w:rPr>
          <w:rFonts w:ascii="Century Gothic" w:hAnsi="Century Gothic"/>
          <w:b/>
        </w:rPr>
        <w:t xml:space="preserve">legal standards </w:t>
      </w:r>
      <w:r w:rsidR="006B7E04" w:rsidRPr="00591B24">
        <w:rPr>
          <w:rFonts w:ascii="Century Gothic" w:hAnsi="Century Gothic"/>
          <w:b/>
        </w:rPr>
        <w:t>below</w:t>
      </w:r>
      <w:r w:rsidRPr="00591B24">
        <w:rPr>
          <w:rFonts w:ascii="Century Gothic" w:hAnsi="Century Gothic"/>
          <w:b/>
        </w:rPr>
        <w:t>.</w:t>
      </w:r>
    </w:p>
    <w:p w14:paraId="5DAB6C7B" w14:textId="77777777" w:rsidR="009A2FFB" w:rsidRDefault="009A2FFB" w:rsidP="009A2FFB">
      <w:pPr>
        <w:rPr>
          <w:rFonts w:ascii="Century Gothic" w:hAnsi="Century Gothic"/>
          <w:b/>
          <w:bCs/>
        </w:rPr>
      </w:pPr>
    </w:p>
    <w:p w14:paraId="4DC3671B" w14:textId="77777777" w:rsidR="000C7A95" w:rsidRDefault="00322732" w:rsidP="000C7A95">
      <w:pPr>
        <w:numPr>
          <w:ilvl w:val="0"/>
          <w:numId w:val="6"/>
        </w:numPr>
        <w:rPr>
          <w:rFonts w:ascii="Century Gothic" w:hAnsi="Century Gothic"/>
          <w:bCs/>
        </w:rPr>
      </w:pPr>
      <w:r w:rsidRPr="000B713C">
        <w:rPr>
          <w:rFonts w:ascii="Century Gothic" w:hAnsi="Century Gothic"/>
          <w:b/>
        </w:rPr>
        <w:t>Unnecessary hardship</w:t>
      </w:r>
      <w:r w:rsidRPr="000B713C">
        <w:rPr>
          <w:rFonts w:ascii="Century Gothic" w:hAnsi="Century Gothic"/>
          <w:bCs/>
        </w:rPr>
        <w:t xml:space="preserve"> </w:t>
      </w:r>
      <w:r w:rsidR="000C7A95">
        <w:rPr>
          <w:rFonts w:ascii="Century Gothic" w:hAnsi="Century Gothic"/>
          <w:bCs/>
        </w:rPr>
        <w:t>(check area variance or use variance)</w:t>
      </w:r>
    </w:p>
    <w:p w14:paraId="5FB09A10" w14:textId="77777777" w:rsidR="00925E4C" w:rsidRDefault="000C7A95" w:rsidP="000C7A95">
      <w:pPr>
        <w:numPr>
          <w:ilvl w:val="0"/>
          <w:numId w:val="7"/>
        </w:numPr>
        <w:rPr>
          <w:rFonts w:ascii="Century Gothic" w:hAnsi="Century Gothic"/>
          <w:bCs/>
        </w:rPr>
      </w:pPr>
      <w:r>
        <w:rPr>
          <w:rFonts w:ascii="Century Gothic" w:hAnsi="Century Gothic"/>
          <w:b/>
        </w:rPr>
        <w:t xml:space="preserve">For an area variance, </w:t>
      </w:r>
      <w:r w:rsidRPr="000C7A95">
        <w:rPr>
          <w:rFonts w:ascii="Century Gothic" w:hAnsi="Century Gothic"/>
          <w:bCs/>
        </w:rPr>
        <w:t>unneces</w:t>
      </w:r>
      <w:r w:rsidR="00C115D2">
        <w:rPr>
          <w:rFonts w:ascii="Century Gothic" w:hAnsi="Century Gothic"/>
          <w:bCs/>
        </w:rPr>
        <w:t>s</w:t>
      </w:r>
      <w:r w:rsidRPr="000C7A95">
        <w:rPr>
          <w:rFonts w:ascii="Century Gothic" w:hAnsi="Century Gothic"/>
          <w:bCs/>
        </w:rPr>
        <w:t>ary hardship exists</w:t>
      </w:r>
      <w:r>
        <w:rPr>
          <w:rFonts w:ascii="Century Gothic" w:hAnsi="Century Gothic"/>
          <w:b/>
        </w:rPr>
        <w:t xml:space="preserve"> </w:t>
      </w:r>
      <w:r w:rsidR="00322732" w:rsidRPr="000B713C">
        <w:rPr>
          <w:rFonts w:ascii="Century Gothic" w:hAnsi="Century Gothic"/>
          <w:bCs/>
        </w:rPr>
        <w:t xml:space="preserve">when, ordinance </w:t>
      </w:r>
      <w:r w:rsidR="00925E4C" w:rsidRPr="000B713C">
        <w:rPr>
          <w:rFonts w:ascii="Century Gothic" w:hAnsi="Century Gothic"/>
          <w:bCs/>
        </w:rPr>
        <w:t xml:space="preserve">standards that are </w:t>
      </w:r>
      <w:r w:rsidR="00322732" w:rsidRPr="000B713C">
        <w:rPr>
          <w:rFonts w:ascii="Century Gothic" w:hAnsi="Century Gothic"/>
          <w:bCs/>
        </w:rPr>
        <w:t xml:space="preserve">strictly applied would unreasonably prevent </w:t>
      </w:r>
      <w:r w:rsidR="005D2A6F" w:rsidRPr="000B713C">
        <w:rPr>
          <w:rFonts w:ascii="Century Gothic" w:hAnsi="Century Gothic"/>
          <w:bCs/>
        </w:rPr>
        <w:t xml:space="preserve">a </w:t>
      </w:r>
      <w:r w:rsidR="00322732" w:rsidRPr="000B713C">
        <w:rPr>
          <w:rFonts w:ascii="Century Gothic" w:hAnsi="Century Gothic"/>
          <w:bCs/>
        </w:rPr>
        <w:t xml:space="preserve">permitted use of a </w:t>
      </w:r>
      <w:proofErr w:type="gramStart"/>
      <w:r w:rsidR="00322732" w:rsidRPr="000B713C">
        <w:rPr>
          <w:rFonts w:ascii="Century Gothic" w:hAnsi="Century Gothic"/>
          <w:bCs/>
        </w:rPr>
        <w:t>property, or</w:t>
      </w:r>
      <w:proofErr w:type="gramEnd"/>
      <w:r w:rsidR="00322732" w:rsidRPr="000B713C">
        <w:rPr>
          <w:rFonts w:ascii="Century Gothic" w:hAnsi="Century Gothic"/>
          <w:bCs/>
        </w:rPr>
        <w:t xml:space="preserve"> render conformity with such standards </w:t>
      </w:r>
      <w:r w:rsidR="00925E4C" w:rsidRPr="000B713C">
        <w:rPr>
          <w:rFonts w:ascii="Century Gothic" w:hAnsi="Century Gothic"/>
          <w:bCs/>
        </w:rPr>
        <w:t>unnecessarily burdensome</w:t>
      </w:r>
      <w:r w:rsidR="00322732" w:rsidRPr="000B713C">
        <w:rPr>
          <w:rFonts w:ascii="Century Gothic" w:hAnsi="Century Gothic"/>
          <w:bCs/>
        </w:rPr>
        <w:t xml:space="preserve">.  </w:t>
      </w:r>
      <w:r w:rsidR="00925E4C" w:rsidRPr="000B713C">
        <w:rPr>
          <w:rFonts w:ascii="Century Gothic" w:hAnsi="Century Gothic"/>
          <w:bCs/>
        </w:rPr>
        <w:t xml:space="preserve"> </w:t>
      </w:r>
      <w:r w:rsidR="00780F9F" w:rsidRPr="000B713C">
        <w:rPr>
          <w:rFonts w:ascii="Century Gothic" w:hAnsi="Century Gothic"/>
          <w:bCs/>
        </w:rPr>
        <w:t xml:space="preserve">Circumstances of an applicant, such as a growing family or desire for a larger garage are not </w:t>
      </w:r>
      <w:r w:rsidR="006015D0" w:rsidRPr="000B713C">
        <w:rPr>
          <w:rFonts w:ascii="Century Gothic" w:hAnsi="Century Gothic"/>
          <w:bCs/>
        </w:rPr>
        <w:t>legitimate</w:t>
      </w:r>
      <w:r w:rsidR="00780F9F" w:rsidRPr="000B713C">
        <w:rPr>
          <w:rFonts w:ascii="Century Gothic" w:hAnsi="Century Gothic"/>
          <w:bCs/>
        </w:rPr>
        <w:t xml:space="preserve"> factor</w:t>
      </w:r>
      <w:r w:rsidR="006015D0" w:rsidRPr="000B713C">
        <w:rPr>
          <w:rFonts w:ascii="Century Gothic" w:hAnsi="Century Gothic"/>
          <w:bCs/>
        </w:rPr>
        <w:t>s</w:t>
      </w:r>
      <w:r w:rsidR="00780F9F" w:rsidRPr="000B713C">
        <w:rPr>
          <w:rFonts w:ascii="Century Gothic" w:hAnsi="Century Gothic"/>
          <w:bCs/>
        </w:rPr>
        <w:t xml:space="preserve"> in deciding variances. </w:t>
      </w:r>
      <w:r w:rsidR="000B713C" w:rsidRPr="000B713C">
        <w:rPr>
          <w:rFonts w:ascii="Century Gothic" w:hAnsi="Century Gothic"/>
          <w:bCs/>
        </w:rPr>
        <w:t xml:space="preserve">A personal inconvenience is not sufficient to meet the unnecessary hardship standard. </w:t>
      </w:r>
      <w:r w:rsidR="00780F9F" w:rsidRPr="000B713C">
        <w:rPr>
          <w:rFonts w:ascii="Century Gothic" w:hAnsi="Century Gothic"/>
          <w:bCs/>
        </w:rPr>
        <w:t>(</w:t>
      </w:r>
      <w:r w:rsidR="00780F9F" w:rsidRPr="000B713C">
        <w:rPr>
          <w:rFonts w:ascii="Century Gothic" w:hAnsi="Century Gothic"/>
          <w:bCs/>
          <w:i/>
          <w:iCs/>
        </w:rPr>
        <w:t>Snyder v. Waukesha County Zoning Bd. Of Adjustment</w:t>
      </w:r>
      <w:r w:rsidR="00780F9F" w:rsidRPr="000B713C">
        <w:rPr>
          <w:rFonts w:ascii="Century Gothic" w:hAnsi="Century Gothic"/>
          <w:bCs/>
        </w:rPr>
        <w:t xml:space="preserve">, 1976). </w:t>
      </w:r>
    </w:p>
    <w:p w14:paraId="4E073BED" w14:textId="77777777" w:rsidR="000C7A95" w:rsidRPr="000B713C" w:rsidRDefault="000C7A95" w:rsidP="000C7A95">
      <w:pPr>
        <w:numPr>
          <w:ilvl w:val="0"/>
          <w:numId w:val="7"/>
        </w:numPr>
        <w:rPr>
          <w:rFonts w:ascii="Century Gothic" w:hAnsi="Century Gothic"/>
          <w:bCs/>
        </w:rPr>
      </w:pPr>
      <w:r>
        <w:rPr>
          <w:rFonts w:ascii="Century Gothic" w:hAnsi="Century Gothic"/>
          <w:b/>
        </w:rPr>
        <w:t>For a use variance</w:t>
      </w:r>
      <w:r w:rsidRPr="000C7A95">
        <w:rPr>
          <w:rFonts w:ascii="Century Gothic" w:hAnsi="Century Gothic"/>
          <w:bCs/>
        </w:rPr>
        <w:t>, unnecessary hardship exists only if there is no reasonable use of the property without a variance.</w:t>
      </w:r>
    </w:p>
    <w:p w14:paraId="02EB378F" w14:textId="77777777" w:rsidR="00D602D6" w:rsidRDefault="00D602D6" w:rsidP="009A2FFB">
      <w:pPr>
        <w:rPr>
          <w:rFonts w:ascii="Century Gothic" w:hAnsi="Century Gothic"/>
          <w:bCs/>
        </w:rPr>
      </w:pPr>
    </w:p>
    <w:p w14:paraId="760FE0BD" w14:textId="77777777" w:rsidR="00925E4C" w:rsidRPr="00672D96" w:rsidRDefault="006B7E04" w:rsidP="009A2FFB">
      <w:pPr>
        <w:rPr>
          <w:rFonts w:ascii="Century Gothic" w:hAnsi="Century Gothic"/>
          <w:bCs/>
        </w:rPr>
      </w:pPr>
      <w:r>
        <w:rPr>
          <w:rFonts w:ascii="Century Gothic" w:hAnsi="Century Gothic"/>
          <w:bCs/>
        </w:rPr>
        <w:t xml:space="preserve">The literal enforcement of the ordinance standard(s) </w:t>
      </w:r>
      <w:proofErr w:type="gramStart"/>
      <w:r>
        <w:rPr>
          <w:rFonts w:ascii="Century Gothic" w:hAnsi="Century Gothic"/>
          <w:bCs/>
        </w:rPr>
        <w:t>(</w:t>
      </w:r>
      <w:r w:rsidR="00BA6575">
        <w:rPr>
          <w:rFonts w:ascii="Century Gothic" w:hAnsi="Century Gothic"/>
          <w:bCs/>
        </w:rPr>
        <w:t xml:space="preserve"> </w:t>
      </w:r>
      <w:r w:rsidR="00BA6575">
        <w:rPr>
          <w:rFonts w:ascii="Century Gothic" w:hAnsi="Century Gothic"/>
          <w:b/>
          <w:bCs/>
        </w:rPr>
        <w:t>will</w:t>
      </w:r>
      <w:proofErr w:type="gramEnd"/>
      <w:r w:rsidR="00BA6575">
        <w:rPr>
          <w:rFonts w:ascii="Century Gothic" w:hAnsi="Century Gothic"/>
          <w:b/>
          <w:bCs/>
        </w:rPr>
        <w:t xml:space="preserve"> /</w:t>
      </w:r>
      <w:r w:rsidRPr="00BA6575">
        <w:rPr>
          <w:rFonts w:ascii="Century Gothic" w:hAnsi="Century Gothic"/>
          <w:b/>
          <w:bCs/>
        </w:rPr>
        <w:t xml:space="preserve"> will not</w:t>
      </w:r>
      <w:r w:rsidR="00BA6575">
        <w:rPr>
          <w:rFonts w:ascii="Century Gothic" w:hAnsi="Century Gothic"/>
          <w:b/>
          <w:bCs/>
        </w:rPr>
        <w:t xml:space="preserve"> </w:t>
      </w:r>
      <w:r>
        <w:rPr>
          <w:rFonts w:ascii="Century Gothic" w:hAnsi="Century Gothic"/>
          <w:bCs/>
        </w:rPr>
        <w:t>) result in an</w:t>
      </w:r>
      <w:r w:rsidR="00925E4C" w:rsidRPr="00672D96">
        <w:rPr>
          <w:rFonts w:ascii="Century Gothic" w:hAnsi="Century Gothic"/>
          <w:bCs/>
        </w:rPr>
        <w:t xml:space="preserve"> unnecessary hardship because…</w:t>
      </w:r>
    </w:p>
    <w:p w14:paraId="6A05A809" w14:textId="77777777" w:rsidR="00925E4C" w:rsidRDefault="00925E4C" w:rsidP="009A2FFB">
      <w:pPr>
        <w:rPr>
          <w:rFonts w:ascii="Century Gothic" w:hAnsi="Century Gothic"/>
          <w:bCs/>
        </w:rPr>
      </w:pPr>
    </w:p>
    <w:p w14:paraId="37EA3E2C" w14:textId="77777777" w:rsidR="00925E4C" w:rsidRDefault="00925E4C" w:rsidP="009A2FFB">
      <w:pPr>
        <w:rPr>
          <w:rFonts w:ascii="Century Gothic" w:hAnsi="Century Gothic"/>
          <w:bCs/>
        </w:rPr>
      </w:pPr>
      <w:r>
        <w:rPr>
          <w:rFonts w:ascii="Century Gothic" w:hAnsi="Century Gothic"/>
          <w:bCs/>
        </w:rPr>
        <w:t>_______________________________________________________________________</w:t>
      </w:r>
      <w:r w:rsidR="00591B24">
        <w:rPr>
          <w:rFonts w:ascii="Century Gothic" w:hAnsi="Century Gothic"/>
          <w:bCs/>
        </w:rPr>
        <w:t>____</w:t>
      </w:r>
    </w:p>
    <w:p w14:paraId="5A39BBE3" w14:textId="77777777" w:rsidR="00925E4C" w:rsidRDefault="00925E4C" w:rsidP="009A2FFB">
      <w:pPr>
        <w:rPr>
          <w:rFonts w:ascii="Century Gothic" w:hAnsi="Century Gothic"/>
          <w:bCs/>
        </w:rPr>
      </w:pPr>
    </w:p>
    <w:p w14:paraId="1E9407FA" w14:textId="77777777" w:rsidR="00925E4C" w:rsidRDefault="00925E4C" w:rsidP="009A2FFB">
      <w:pPr>
        <w:rPr>
          <w:rFonts w:ascii="Century Gothic" w:hAnsi="Century Gothic"/>
          <w:bCs/>
        </w:rPr>
      </w:pPr>
      <w:r>
        <w:rPr>
          <w:rFonts w:ascii="Century Gothic" w:hAnsi="Century Gothic"/>
          <w:bCs/>
        </w:rPr>
        <w:t>_______________________________________________________________________</w:t>
      </w:r>
      <w:r w:rsidR="00591B24">
        <w:rPr>
          <w:rFonts w:ascii="Century Gothic" w:hAnsi="Century Gothic"/>
          <w:bCs/>
        </w:rPr>
        <w:t>____</w:t>
      </w:r>
    </w:p>
    <w:p w14:paraId="41C8F396" w14:textId="77777777" w:rsidR="00925E4C" w:rsidRDefault="00925E4C" w:rsidP="009A2FFB">
      <w:pPr>
        <w:rPr>
          <w:rFonts w:ascii="Century Gothic" w:hAnsi="Century Gothic"/>
          <w:bCs/>
        </w:rPr>
      </w:pPr>
    </w:p>
    <w:p w14:paraId="2E915FCC" w14:textId="77777777" w:rsidR="00D602D6" w:rsidRPr="000B713C" w:rsidRDefault="00D602D6" w:rsidP="009A2FFB">
      <w:pPr>
        <w:rPr>
          <w:rFonts w:ascii="Century Gothic" w:hAnsi="Century Gothic"/>
          <w:bCs/>
        </w:rPr>
      </w:pPr>
      <w:r w:rsidRPr="000B713C">
        <w:rPr>
          <w:rFonts w:ascii="Century Gothic" w:hAnsi="Century Gothic"/>
          <w:bCs/>
        </w:rPr>
        <w:t xml:space="preserve">2.  </w:t>
      </w:r>
      <w:r w:rsidRPr="000B713C">
        <w:rPr>
          <w:rFonts w:ascii="Century Gothic" w:hAnsi="Century Gothic"/>
          <w:b/>
        </w:rPr>
        <w:t>The hardship must be due to unique property limitations</w:t>
      </w:r>
      <w:r w:rsidRPr="000B713C">
        <w:rPr>
          <w:rFonts w:ascii="Century Gothic" w:hAnsi="Century Gothic"/>
          <w:bCs/>
        </w:rPr>
        <w:t xml:space="preserve"> </w:t>
      </w:r>
      <w:r w:rsidR="006015D0" w:rsidRPr="000B713C">
        <w:rPr>
          <w:rFonts w:ascii="Century Gothic" w:hAnsi="Century Gothic"/>
          <w:bCs/>
        </w:rPr>
        <w:t xml:space="preserve">such as steep slopes or wetlands that prevent compliance with the ordinance, and </w:t>
      </w:r>
      <w:r w:rsidRPr="000B713C">
        <w:rPr>
          <w:rFonts w:ascii="Century Gothic" w:hAnsi="Century Gothic"/>
          <w:bCs/>
        </w:rPr>
        <w:t>that are not shared by</w:t>
      </w:r>
      <w:r w:rsidR="00163933" w:rsidRPr="000B713C">
        <w:rPr>
          <w:rFonts w:ascii="Century Gothic" w:hAnsi="Century Gothic"/>
          <w:bCs/>
        </w:rPr>
        <w:t xml:space="preserve"> </w:t>
      </w:r>
      <w:r w:rsidR="009450CB" w:rsidRPr="000B713C">
        <w:rPr>
          <w:rFonts w:ascii="Century Gothic" w:hAnsi="Century Gothic"/>
          <w:bCs/>
        </w:rPr>
        <w:t xml:space="preserve">nearby </w:t>
      </w:r>
      <w:r w:rsidR="00163933" w:rsidRPr="000B713C">
        <w:rPr>
          <w:rFonts w:ascii="Century Gothic" w:hAnsi="Century Gothic"/>
          <w:bCs/>
        </w:rPr>
        <w:t>properties.  Further, the entire property must be considered, if a code-compliant location(s) exist</w:t>
      </w:r>
      <w:r w:rsidR="00D17527" w:rsidRPr="000B713C">
        <w:rPr>
          <w:rFonts w:ascii="Century Gothic" w:hAnsi="Century Gothic"/>
          <w:bCs/>
        </w:rPr>
        <w:t>s</w:t>
      </w:r>
      <w:r w:rsidR="00163933" w:rsidRPr="000B713C">
        <w:rPr>
          <w:rFonts w:ascii="Century Gothic" w:hAnsi="Century Gothic"/>
          <w:bCs/>
        </w:rPr>
        <w:t xml:space="preserve">, a hardship due to unique property limitations </w:t>
      </w:r>
      <w:r w:rsidR="00163933" w:rsidRPr="000B713C">
        <w:rPr>
          <w:rFonts w:ascii="Century Gothic" w:hAnsi="Century Gothic"/>
          <w:b/>
          <w:bCs/>
        </w:rPr>
        <w:t>does not exist.</w:t>
      </w:r>
      <w:r w:rsidR="009A2FFB" w:rsidRPr="000B713C">
        <w:rPr>
          <w:rFonts w:ascii="Century Gothic" w:hAnsi="Century Gothic"/>
          <w:bCs/>
        </w:rPr>
        <w:t xml:space="preserve"> </w:t>
      </w:r>
    </w:p>
    <w:p w14:paraId="72A3D3EC" w14:textId="77777777" w:rsidR="00D17527" w:rsidRDefault="00D17527" w:rsidP="009A2FFB">
      <w:pPr>
        <w:rPr>
          <w:rFonts w:ascii="Century Gothic" w:hAnsi="Century Gothic"/>
          <w:bCs/>
        </w:rPr>
      </w:pPr>
    </w:p>
    <w:p w14:paraId="2D6352A7" w14:textId="77777777" w:rsidR="002C4985" w:rsidRPr="00672D96" w:rsidRDefault="009A2FFB" w:rsidP="009A2FFB">
      <w:pPr>
        <w:rPr>
          <w:rFonts w:ascii="Century Gothic" w:hAnsi="Century Gothic"/>
          <w:bCs/>
        </w:rPr>
      </w:pPr>
      <w:r w:rsidRPr="00672D96">
        <w:rPr>
          <w:rFonts w:ascii="Century Gothic" w:hAnsi="Century Gothic"/>
          <w:bCs/>
        </w:rPr>
        <w:t xml:space="preserve">The hardship </w:t>
      </w:r>
      <w:proofErr w:type="gramStart"/>
      <w:r w:rsidRPr="00672D96">
        <w:rPr>
          <w:rFonts w:ascii="Century Gothic" w:hAnsi="Century Gothic"/>
          <w:bCs/>
        </w:rPr>
        <w:t>(</w:t>
      </w:r>
      <w:r w:rsidR="00F127FD" w:rsidRPr="00672D96">
        <w:rPr>
          <w:rFonts w:ascii="Century Gothic" w:hAnsi="Century Gothic"/>
          <w:bCs/>
        </w:rPr>
        <w:t xml:space="preserve"> </w:t>
      </w:r>
      <w:r w:rsidRPr="00BA6575">
        <w:rPr>
          <w:rFonts w:ascii="Century Gothic" w:hAnsi="Century Gothic"/>
          <w:b/>
          <w:bCs/>
        </w:rPr>
        <w:t>is</w:t>
      </w:r>
      <w:proofErr w:type="gramEnd"/>
      <w:r w:rsidRPr="00BA6575">
        <w:rPr>
          <w:rFonts w:ascii="Century Gothic" w:hAnsi="Century Gothic"/>
          <w:b/>
          <w:bCs/>
        </w:rPr>
        <w:t xml:space="preserve"> / is not</w:t>
      </w:r>
      <w:r w:rsidR="00F127FD" w:rsidRPr="00BA6575">
        <w:rPr>
          <w:rFonts w:ascii="Century Gothic" w:hAnsi="Century Gothic"/>
          <w:b/>
          <w:bCs/>
        </w:rPr>
        <w:t xml:space="preserve"> </w:t>
      </w:r>
      <w:r w:rsidRPr="00672D96">
        <w:rPr>
          <w:rFonts w:ascii="Century Gothic" w:hAnsi="Century Gothic"/>
          <w:bCs/>
        </w:rPr>
        <w:t xml:space="preserve">) due to </w:t>
      </w:r>
      <w:r w:rsidR="00BA6575">
        <w:rPr>
          <w:rFonts w:ascii="Century Gothic" w:hAnsi="Century Gothic"/>
          <w:bCs/>
        </w:rPr>
        <w:t xml:space="preserve">unique </w:t>
      </w:r>
      <w:r w:rsidR="006B7E04">
        <w:rPr>
          <w:rFonts w:ascii="Century Gothic" w:hAnsi="Century Gothic"/>
          <w:bCs/>
        </w:rPr>
        <w:t>conditions</w:t>
      </w:r>
      <w:r w:rsidRPr="00672D96">
        <w:rPr>
          <w:rFonts w:ascii="Century Gothic" w:hAnsi="Century Gothic"/>
          <w:bCs/>
        </w:rPr>
        <w:t xml:space="preserve"> of the property because…</w:t>
      </w:r>
    </w:p>
    <w:p w14:paraId="0D0B940D" w14:textId="77777777" w:rsidR="009A2FFB" w:rsidRPr="009A2FFB" w:rsidRDefault="009A2FFB" w:rsidP="009A2FFB">
      <w:pPr>
        <w:rPr>
          <w:rFonts w:ascii="Century Gothic" w:hAnsi="Century Gothic"/>
          <w:b/>
          <w:bCs/>
        </w:rPr>
      </w:pPr>
    </w:p>
    <w:p w14:paraId="7CF01E30" w14:textId="77777777" w:rsidR="00262ECF" w:rsidRPr="009A2FFB" w:rsidRDefault="00262ECF" w:rsidP="002C4985">
      <w:pPr>
        <w:rPr>
          <w:rFonts w:ascii="Century Gothic" w:hAnsi="Century Gothic"/>
          <w:b/>
          <w:bCs/>
        </w:rPr>
      </w:pPr>
      <w:r w:rsidRPr="009A2FFB">
        <w:rPr>
          <w:rFonts w:ascii="Century Gothic" w:hAnsi="Century Gothic"/>
          <w:b/>
          <w:bCs/>
        </w:rPr>
        <w:t>______________________________________________________________</w:t>
      </w:r>
      <w:r w:rsidR="009A2FFB">
        <w:rPr>
          <w:rFonts w:ascii="Century Gothic" w:hAnsi="Century Gothic"/>
          <w:b/>
          <w:bCs/>
        </w:rPr>
        <w:t>_________</w:t>
      </w:r>
      <w:r w:rsidR="00591B24">
        <w:rPr>
          <w:rFonts w:ascii="Century Gothic" w:hAnsi="Century Gothic"/>
          <w:b/>
          <w:bCs/>
        </w:rPr>
        <w:t>____</w:t>
      </w:r>
    </w:p>
    <w:p w14:paraId="0E27B00A" w14:textId="77777777" w:rsidR="00262ECF" w:rsidRPr="009A2FFB" w:rsidRDefault="00262ECF" w:rsidP="002C4985">
      <w:pPr>
        <w:rPr>
          <w:rFonts w:ascii="Century Gothic" w:hAnsi="Century Gothic"/>
          <w:b/>
          <w:bCs/>
        </w:rPr>
      </w:pPr>
    </w:p>
    <w:p w14:paraId="4A3FBBB3" w14:textId="77777777" w:rsidR="00F127FD" w:rsidRPr="00D17527" w:rsidRDefault="00262ECF" w:rsidP="002C4985">
      <w:pPr>
        <w:rPr>
          <w:rFonts w:ascii="Century Gothic" w:hAnsi="Century Gothic"/>
          <w:b/>
          <w:bCs/>
        </w:rPr>
      </w:pPr>
      <w:r w:rsidRPr="009A2FFB">
        <w:rPr>
          <w:rFonts w:ascii="Century Gothic" w:hAnsi="Century Gothic"/>
          <w:b/>
          <w:bCs/>
        </w:rPr>
        <w:t>_______________________________________________________________________</w:t>
      </w:r>
      <w:r w:rsidR="00591B24">
        <w:rPr>
          <w:rFonts w:ascii="Century Gothic" w:hAnsi="Century Gothic"/>
          <w:b/>
          <w:bCs/>
        </w:rPr>
        <w:t>____</w:t>
      </w:r>
    </w:p>
    <w:p w14:paraId="60061E4C" w14:textId="77777777" w:rsidR="002C4985" w:rsidRPr="00F127FD" w:rsidRDefault="002C4985" w:rsidP="002C4985">
      <w:pPr>
        <w:rPr>
          <w:rFonts w:ascii="Century Gothic" w:hAnsi="Century Gothic"/>
        </w:rPr>
      </w:pPr>
    </w:p>
    <w:p w14:paraId="47F897F4" w14:textId="77777777" w:rsidR="004732A9" w:rsidRPr="000C7A95" w:rsidRDefault="000C7A95" w:rsidP="000C7A95">
      <w:pPr>
        <w:rPr>
          <w:rFonts w:ascii="Century Gothic" w:hAnsi="Century Gothic"/>
          <w:bCs/>
        </w:rPr>
      </w:pPr>
      <w:r>
        <w:rPr>
          <w:rFonts w:ascii="Century Gothic" w:hAnsi="Century Gothic"/>
          <w:bCs/>
        </w:rPr>
        <w:br w:type="page"/>
      </w:r>
      <w:r w:rsidR="00D17527" w:rsidRPr="000B713C">
        <w:rPr>
          <w:rFonts w:ascii="Century Gothic" w:hAnsi="Century Gothic"/>
          <w:bCs/>
        </w:rPr>
        <w:lastRenderedPageBreak/>
        <w:t>3</w:t>
      </w:r>
      <w:r w:rsidR="009A2FFB" w:rsidRPr="000B713C">
        <w:rPr>
          <w:rFonts w:ascii="Century Gothic" w:hAnsi="Century Gothic"/>
          <w:bCs/>
        </w:rPr>
        <w:t xml:space="preserve">.  </w:t>
      </w:r>
      <w:r w:rsidR="00D17527" w:rsidRPr="000B713C">
        <w:rPr>
          <w:rFonts w:ascii="Century Gothic" w:hAnsi="Century Gothic"/>
          <w:bCs/>
        </w:rPr>
        <w:t xml:space="preserve">A variance may not be granted which results in harm to the </w:t>
      </w:r>
      <w:r w:rsidR="00D17527" w:rsidRPr="000B713C">
        <w:rPr>
          <w:rFonts w:ascii="Century Gothic" w:hAnsi="Century Gothic"/>
          <w:b/>
        </w:rPr>
        <w:t>public interest</w:t>
      </w:r>
      <w:r w:rsidR="006015D0" w:rsidRPr="000B713C">
        <w:rPr>
          <w:rFonts w:ascii="Century Gothic" w:hAnsi="Century Gothic"/>
          <w:b/>
        </w:rPr>
        <w:t>s</w:t>
      </w:r>
      <w:r w:rsidR="00591B24" w:rsidRPr="000B713C">
        <w:rPr>
          <w:rFonts w:ascii="Century Gothic" w:hAnsi="Century Gothic"/>
          <w:b/>
        </w:rPr>
        <w:t xml:space="preserve">. </w:t>
      </w:r>
      <w:r w:rsidR="006015D0" w:rsidRPr="000B713C">
        <w:rPr>
          <w:rFonts w:ascii="Century Gothic" w:hAnsi="Century Gothic"/>
          <w:bCs/>
        </w:rPr>
        <w:t>The public interests are the objectives listed</w:t>
      </w:r>
      <w:r w:rsidR="00D17527" w:rsidRPr="000B713C">
        <w:rPr>
          <w:rFonts w:ascii="Century Gothic" w:hAnsi="Century Gothic"/>
          <w:bCs/>
        </w:rPr>
        <w:t xml:space="preserve"> </w:t>
      </w:r>
      <w:r w:rsidR="00322732" w:rsidRPr="000B713C">
        <w:rPr>
          <w:rFonts w:ascii="Century Gothic" w:hAnsi="Century Gothic"/>
          <w:bCs/>
        </w:rPr>
        <w:t xml:space="preserve">in </w:t>
      </w:r>
      <w:r w:rsidR="00D17527" w:rsidRPr="000B713C">
        <w:rPr>
          <w:rFonts w:ascii="Century Gothic" w:hAnsi="Century Gothic"/>
          <w:bCs/>
        </w:rPr>
        <w:t xml:space="preserve">the purpose </w:t>
      </w:r>
      <w:r w:rsidR="00322732" w:rsidRPr="000B713C">
        <w:rPr>
          <w:rFonts w:ascii="Century Gothic" w:hAnsi="Century Gothic"/>
          <w:bCs/>
        </w:rPr>
        <w:t xml:space="preserve">section </w:t>
      </w:r>
      <w:r w:rsidR="00D17527" w:rsidRPr="000B713C">
        <w:rPr>
          <w:rFonts w:ascii="Century Gothic" w:hAnsi="Century Gothic"/>
          <w:bCs/>
        </w:rPr>
        <w:t xml:space="preserve">of </w:t>
      </w:r>
      <w:r w:rsidR="004732A9">
        <w:rPr>
          <w:rFonts w:ascii="Century Gothic" w:hAnsi="Century Gothic"/>
          <w:bCs/>
        </w:rPr>
        <w:t>the</w:t>
      </w:r>
      <w:r w:rsidR="00322732" w:rsidRPr="000B713C">
        <w:rPr>
          <w:rFonts w:ascii="Century Gothic" w:hAnsi="Century Gothic"/>
          <w:bCs/>
        </w:rPr>
        <w:t xml:space="preserve"> ordinance</w:t>
      </w:r>
      <w:r w:rsidR="00D17527" w:rsidRPr="000B713C">
        <w:rPr>
          <w:rFonts w:ascii="Century Gothic" w:hAnsi="Century Gothic"/>
          <w:bCs/>
        </w:rPr>
        <w:t>.</w:t>
      </w:r>
    </w:p>
    <w:p w14:paraId="057C012C" w14:textId="209845F3" w:rsidR="004732A9" w:rsidRDefault="004732A9" w:rsidP="40916E28">
      <w:pPr>
        <w:shd w:val="clear" w:color="auto" w:fill="FFFFFF" w:themeFill="background1"/>
        <w:spacing w:line="390" w:lineRule="atLeast"/>
        <w:textAlignment w:val="center"/>
        <w:rPr>
          <w:rFonts w:ascii="Arial" w:hAnsi="Arial" w:cs="Arial"/>
          <w:color w:val="313335"/>
          <w:sz w:val="20"/>
          <w:szCs w:val="20"/>
          <w:highlight w:val="yellow"/>
        </w:rPr>
      </w:pPr>
      <w:r w:rsidRPr="40916E28">
        <w:rPr>
          <w:rFonts w:ascii="Arial" w:hAnsi="Arial" w:cs="Arial"/>
          <w:b/>
          <w:bCs/>
          <w:color w:val="313335"/>
        </w:rPr>
        <w:t>Washburn County Sec. 38-311. - Purpose and intent.</w:t>
      </w:r>
      <w:r w:rsidR="1E06B50A" w:rsidRPr="40916E28">
        <w:rPr>
          <w:rFonts w:ascii="Arial" w:hAnsi="Arial" w:cs="Arial"/>
          <w:b/>
          <w:bCs/>
          <w:color w:val="313335"/>
        </w:rPr>
        <w:t xml:space="preserve"> </w:t>
      </w:r>
      <w:r w:rsidR="1E06B50A" w:rsidRPr="40916E28">
        <w:rPr>
          <w:rFonts w:ascii="Arial" w:hAnsi="Arial" w:cs="Arial"/>
          <w:color w:val="313335"/>
          <w:sz w:val="20"/>
          <w:szCs w:val="20"/>
          <w:highlight w:val="yellow"/>
        </w:rPr>
        <w:t>Plug in local ordinance purposes</w:t>
      </w:r>
    </w:p>
    <w:p w14:paraId="1E3492BC" w14:textId="77777777" w:rsidR="00D17527" w:rsidRPr="004732A9" w:rsidRDefault="004732A9" w:rsidP="004732A9">
      <w:pPr>
        <w:pStyle w:val="p0"/>
        <w:shd w:val="clear" w:color="auto" w:fill="FFFFFF"/>
        <w:spacing w:before="48" w:beforeAutospacing="0" w:after="240" w:afterAutospacing="0"/>
        <w:ind w:firstLine="480"/>
        <w:rPr>
          <w:rFonts w:ascii="Arial" w:hAnsi="Arial" w:cs="Arial"/>
          <w:color w:val="313335"/>
          <w:spacing w:val="2"/>
          <w:sz w:val="21"/>
          <w:szCs w:val="21"/>
        </w:rPr>
      </w:pPr>
      <w:r>
        <w:rPr>
          <w:rFonts w:ascii="Arial" w:hAnsi="Arial" w:cs="Arial"/>
          <w:color w:val="313335"/>
          <w:spacing w:val="2"/>
          <w:sz w:val="21"/>
          <w:szCs w:val="21"/>
        </w:rPr>
        <w:t xml:space="preserve">The purpose of this article is to promote and to protect the public health, morals, safety, and general welfare of the county. It is intended to encourage the use of lands and natural resources in Washburn County in accordance with their character and adaptability; to promote orderly development; to secure safety to health, life and property; to prevent highways from economic suffocation by encroaching uses; to preserve land values and </w:t>
      </w:r>
      <w:proofErr w:type="gramStart"/>
      <w:r>
        <w:rPr>
          <w:rFonts w:ascii="Arial" w:hAnsi="Arial" w:cs="Arial"/>
          <w:color w:val="313335"/>
          <w:spacing w:val="2"/>
          <w:sz w:val="21"/>
          <w:szCs w:val="21"/>
        </w:rPr>
        <w:t>insure</w:t>
      </w:r>
      <w:proofErr w:type="gramEnd"/>
      <w:r>
        <w:rPr>
          <w:rFonts w:ascii="Arial" w:hAnsi="Arial" w:cs="Arial"/>
          <w:color w:val="313335"/>
          <w:spacing w:val="2"/>
          <w:sz w:val="21"/>
          <w:szCs w:val="21"/>
        </w:rPr>
        <w:t xml:space="preserve"> a quality environment for future generations. This article is intended to accomplish this purpose by providing for the proper locations, construction and use of buildings, structures, and the use of land, shorelands, air, and water within the unincorporated areas of Washburn County.</w:t>
      </w:r>
    </w:p>
    <w:p w14:paraId="72EEEE49" w14:textId="77777777" w:rsidR="00262ECF" w:rsidRPr="00672D96" w:rsidRDefault="009A2FFB" w:rsidP="002C4985">
      <w:pPr>
        <w:rPr>
          <w:rFonts w:ascii="Century Gothic" w:hAnsi="Century Gothic"/>
        </w:rPr>
      </w:pPr>
      <w:r w:rsidRPr="00672D96">
        <w:rPr>
          <w:rFonts w:ascii="Century Gothic" w:hAnsi="Century Gothic"/>
          <w:bCs/>
        </w:rPr>
        <w:t xml:space="preserve">The variance </w:t>
      </w:r>
      <w:proofErr w:type="gramStart"/>
      <w:r w:rsidRPr="00672D96">
        <w:rPr>
          <w:rFonts w:ascii="Century Gothic" w:hAnsi="Century Gothic"/>
          <w:bCs/>
        </w:rPr>
        <w:t>(</w:t>
      </w:r>
      <w:r w:rsidR="00F127FD" w:rsidRPr="00672D96">
        <w:rPr>
          <w:rFonts w:ascii="Century Gothic" w:hAnsi="Century Gothic"/>
          <w:bCs/>
        </w:rPr>
        <w:t xml:space="preserve"> </w:t>
      </w:r>
      <w:r w:rsidRPr="00BA6575">
        <w:rPr>
          <w:rFonts w:ascii="Century Gothic" w:hAnsi="Century Gothic"/>
          <w:b/>
          <w:bCs/>
        </w:rPr>
        <w:t>will</w:t>
      </w:r>
      <w:proofErr w:type="gramEnd"/>
      <w:r w:rsidRPr="00BA6575">
        <w:rPr>
          <w:rFonts w:ascii="Century Gothic" w:hAnsi="Century Gothic"/>
          <w:b/>
          <w:bCs/>
        </w:rPr>
        <w:t xml:space="preserve"> / will not</w:t>
      </w:r>
      <w:r w:rsidR="00F127FD" w:rsidRPr="00672D96">
        <w:rPr>
          <w:rFonts w:ascii="Century Gothic" w:hAnsi="Century Gothic"/>
          <w:bCs/>
        </w:rPr>
        <w:t xml:space="preserve"> </w:t>
      </w:r>
      <w:r w:rsidRPr="00672D96">
        <w:rPr>
          <w:rFonts w:ascii="Century Gothic" w:hAnsi="Century Gothic"/>
          <w:bCs/>
        </w:rPr>
        <w:t xml:space="preserve">) </w:t>
      </w:r>
      <w:r w:rsidR="00B92877">
        <w:rPr>
          <w:rFonts w:ascii="Century Gothic" w:hAnsi="Century Gothic"/>
          <w:bCs/>
        </w:rPr>
        <w:t>harm</w:t>
      </w:r>
      <w:r w:rsidRPr="00672D96">
        <w:rPr>
          <w:rFonts w:ascii="Century Gothic" w:hAnsi="Century Gothic"/>
          <w:bCs/>
        </w:rPr>
        <w:t xml:space="preserve"> the public interest</w:t>
      </w:r>
      <w:r w:rsidR="00B92877">
        <w:rPr>
          <w:rFonts w:ascii="Century Gothic" w:hAnsi="Century Gothic"/>
          <w:bCs/>
        </w:rPr>
        <w:t>s</w:t>
      </w:r>
      <w:r w:rsidRPr="00672D96">
        <w:rPr>
          <w:rFonts w:ascii="Century Gothic" w:hAnsi="Century Gothic"/>
          <w:bCs/>
        </w:rPr>
        <w:t xml:space="preserve"> because…</w:t>
      </w:r>
    </w:p>
    <w:p w14:paraId="44EAFD9C" w14:textId="77777777" w:rsidR="00262ECF" w:rsidRPr="009A2FFB" w:rsidRDefault="00262ECF" w:rsidP="002C4985">
      <w:pPr>
        <w:rPr>
          <w:rFonts w:ascii="Century Gothic" w:hAnsi="Century Gothic"/>
          <w:b/>
        </w:rPr>
      </w:pPr>
    </w:p>
    <w:p w14:paraId="4B970E5F" w14:textId="77777777" w:rsidR="00262ECF" w:rsidRPr="009A2FFB" w:rsidRDefault="009A2FFB" w:rsidP="002C4985">
      <w:pPr>
        <w:rPr>
          <w:rFonts w:ascii="Century Gothic" w:hAnsi="Century Gothic"/>
          <w:b/>
        </w:rPr>
      </w:pPr>
      <w:r>
        <w:rPr>
          <w:rFonts w:ascii="Century Gothic" w:hAnsi="Century Gothic"/>
          <w:b/>
        </w:rPr>
        <w:t>_________</w:t>
      </w:r>
      <w:r w:rsidR="00262ECF" w:rsidRPr="009A2FFB">
        <w:rPr>
          <w:rFonts w:ascii="Century Gothic" w:hAnsi="Century Gothic"/>
          <w:b/>
        </w:rPr>
        <w:t>______________________________________________________________</w:t>
      </w:r>
      <w:r w:rsidR="00591B24">
        <w:rPr>
          <w:rFonts w:ascii="Century Gothic" w:hAnsi="Century Gothic"/>
          <w:b/>
        </w:rPr>
        <w:t>____</w:t>
      </w:r>
    </w:p>
    <w:p w14:paraId="4B94D5A5" w14:textId="77777777" w:rsidR="00262ECF" w:rsidRPr="009A2FFB" w:rsidRDefault="00262ECF" w:rsidP="002C4985">
      <w:pPr>
        <w:rPr>
          <w:rFonts w:ascii="Century Gothic" w:hAnsi="Century Gothic"/>
          <w:b/>
        </w:rPr>
      </w:pPr>
    </w:p>
    <w:p w14:paraId="69DAB3A8" w14:textId="77777777" w:rsidR="00262ECF" w:rsidRPr="009A2FFB" w:rsidRDefault="00262ECF" w:rsidP="002C4985">
      <w:pPr>
        <w:rPr>
          <w:rFonts w:ascii="Century Gothic" w:hAnsi="Century Gothic"/>
          <w:b/>
        </w:rPr>
      </w:pPr>
      <w:r w:rsidRPr="009A2FFB">
        <w:rPr>
          <w:rFonts w:ascii="Century Gothic" w:hAnsi="Century Gothic"/>
          <w:b/>
        </w:rPr>
        <w:t>_______________________________________________________________________</w:t>
      </w:r>
      <w:r w:rsidR="00591B24">
        <w:rPr>
          <w:rFonts w:ascii="Century Gothic" w:hAnsi="Century Gothic"/>
          <w:b/>
        </w:rPr>
        <w:t>____</w:t>
      </w:r>
    </w:p>
    <w:p w14:paraId="3DEEC669" w14:textId="77777777" w:rsidR="004732A9" w:rsidRDefault="004732A9" w:rsidP="00BA6575">
      <w:pPr>
        <w:rPr>
          <w:rFonts w:ascii="Century Gothic" w:hAnsi="Century Gothic"/>
          <w:b/>
        </w:rPr>
      </w:pPr>
    </w:p>
    <w:p w14:paraId="24F5AD86" w14:textId="77777777" w:rsidR="002F55B2" w:rsidRPr="009A2FFB" w:rsidRDefault="002F55B2" w:rsidP="00BA6575">
      <w:pPr>
        <w:rPr>
          <w:rFonts w:ascii="Century Gothic" w:hAnsi="Century Gothic"/>
        </w:rPr>
      </w:pPr>
      <w:r w:rsidRPr="00BA6575">
        <w:rPr>
          <w:rFonts w:ascii="Century Gothic" w:hAnsi="Century Gothic"/>
          <w:b/>
        </w:rPr>
        <w:t>Order and Determination</w:t>
      </w:r>
      <w:r>
        <w:rPr>
          <w:rFonts w:ascii="Century Gothic" w:hAnsi="Century Gothic"/>
        </w:rPr>
        <w:t>:  The BOA member shall decide / vote on the application and direct the zoning department accordingly.</w:t>
      </w:r>
      <w:r w:rsidR="00BA6575" w:rsidRPr="00BA6575">
        <w:rPr>
          <w:rFonts w:ascii="Century Gothic" w:hAnsi="Century Gothic"/>
        </w:rPr>
        <w:t xml:space="preserve"> </w:t>
      </w:r>
      <w:r w:rsidR="00BA6575">
        <w:rPr>
          <w:rFonts w:ascii="Century Gothic" w:hAnsi="Century Gothic"/>
        </w:rPr>
        <w:t>The BOA member must refer to specific evidence when rendering a decision.</w:t>
      </w:r>
    </w:p>
    <w:p w14:paraId="3656B9AB" w14:textId="77777777" w:rsidR="002F55B2" w:rsidRDefault="002F55B2" w:rsidP="002F55B2">
      <w:pPr>
        <w:rPr>
          <w:rFonts w:ascii="Century Gothic" w:hAnsi="Century Gothic"/>
          <w:b/>
          <w:bCs/>
        </w:rPr>
      </w:pPr>
    </w:p>
    <w:p w14:paraId="1C237BB5" w14:textId="77777777" w:rsidR="002F55B2" w:rsidRDefault="002F55B2" w:rsidP="002F55B2">
      <w:pPr>
        <w:rPr>
          <w:rFonts w:ascii="Century Gothic" w:hAnsi="Century Gothic"/>
          <w:bCs/>
        </w:rPr>
      </w:pPr>
      <w:r w:rsidRPr="00BA6575">
        <w:rPr>
          <w:rFonts w:ascii="Century Gothic" w:hAnsi="Century Gothic"/>
          <w:bCs/>
        </w:rPr>
        <w:t xml:space="preserve">The </w:t>
      </w:r>
      <w:r w:rsidR="00BA6575">
        <w:rPr>
          <w:rFonts w:ascii="Century Gothic" w:hAnsi="Century Gothic"/>
          <w:bCs/>
        </w:rPr>
        <w:t xml:space="preserve">application </w:t>
      </w:r>
      <w:proofErr w:type="gramStart"/>
      <w:r w:rsidRPr="00F127FD">
        <w:rPr>
          <w:rFonts w:ascii="Century Gothic" w:hAnsi="Century Gothic"/>
          <w:b/>
          <w:bCs/>
        </w:rPr>
        <w:t>(</w:t>
      </w:r>
      <w:r>
        <w:rPr>
          <w:rFonts w:ascii="Century Gothic" w:hAnsi="Century Gothic"/>
          <w:b/>
          <w:bCs/>
        </w:rPr>
        <w:t xml:space="preserve"> </w:t>
      </w:r>
      <w:r w:rsidRPr="00F127FD">
        <w:rPr>
          <w:rFonts w:ascii="Century Gothic" w:hAnsi="Century Gothic"/>
          <w:b/>
          <w:bCs/>
        </w:rPr>
        <w:t>does</w:t>
      </w:r>
      <w:proofErr w:type="gramEnd"/>
      <w:r w:rsidRPr="00F127FD">
        <w:rPr>
          <w:rFonts w:ascii="Century Gothic" w:hAnsi="Century Gothic"/>
          <w:b/>
          <w:bCs/>
        </w:rPr>
        <w:t xml:space="preserve"> / does not</w:t>
      </w:r>
      <w:r>
        <w:rPr>
          <w:rFonts w:ascii="Century Gothic" w:hAnsi="Century Gothic"/>
          <w:b/>
          <w:bCs/>
        </w:rPr>
        <w:t xml:space="preserve"> </w:t>
      </w:r>
      <w:r w:rsidRPr="00F127FD">
        <w:rPr>
          <w:rFonts w:ascii="Century Gothic" w:hAnsi="Century Gothic"/>
          <w:b/>
          <w:bCs/>
        </w:rPr>
        <w:t xml:space="preserve">) </w:t>
      </w:r>
      <w:r w:rsidRPr="00BA6575">
        <w:rPr>
          <w:rFonts w:ascii="Century Gothic" w:hAnsi="Century Gothic"/>
          <w:bCs/>
        </w:rPr>
        <w:t>meet all three of the above tests</w:t>
      </w:r>
      <w:r w:rsidR="00BA6575">
        <w:rPr>
          <w:rFonts w:ascii="Century Gothic" w:hAnsi="Century Gothic"/>
          <w:bCs/>
        </w:rPr>
        <w:t xml:space="preserve"> and therefore the variance should be ( </w:t>
      </w:r>
      <w:r w:rsidR="00BA6575" w:rsidRPr="00BA6575">
        <w:rPr>
          <w:rFonts w:ascii="Century Gothic" w:hAnsi="Century Gothic"/>
          <w:b/>
          <w:bCs/>
        </w:rPr>
        <w:t>granted / denied</w:t>
      </w:r>
      <w:r w:rsidR="00BA6575">
        <w:rPr>
          <w:rFonts w:ascii="Century Gothic" w:hAnsi="Century Gothic"/>
          <w:bCs/>
        </w:rPr>
        <w:t xml:space="preserve"> ).</w:t>
      </w:r>
      <w:r w:rsidR="00844925">
        <w:rPr>
          <w:rFonts w:ascii="Century Gothic" w:hAnsi="Century Gothic"/>
          <w:bCs/>
        </w:rPr>
        <w:t xml:space="preserve"> The BOA is only allowed to grant a variance if the applicant </w:t>
      </w:r>
      <w:r w:rsidR="00591B24">
        <w:rPr>
          <w:rFonts w:ascii="Century Gothic" w:hAnsi="Century Gothic"/>
          <w:bCs/>
        </w:rPr>
        <w:t xml:space="preserve">provides evidence that </w:t>
      </w:r>
      <w:r w:rsidR="00844925">
        <w:rPr>
          <w:rFonts w:ascii="Century Gothic" w:hAnsi="Century Gothic"/>
          <w:bCs/>
        </w:rPr>
        <w:t>they meet all three tests:</w:t>
      </w:r>
    </w:p>
    <w:p w14:paraId="514E646C" w14:textId="77777777" w:rsidR="00844925" w:rsidRPr="00591B24" w:rsidRDefault="00844925" w:rsidP="00844925">
      <w:pPr>
        <w:numPr>
          <w:ilvl w:val="0"/>
          <w:numId w:val="5"/>
        </w:numPr>
        <w:rPr>
          <w:rFonts w:ascii="Century Gothic" w:hAnsi="Century Gothic"/>
          <w:b/>
          <w:bCs/>
        </w:rPr>
      </w:pPr>
      <w:r>
        <w:rPr>
          <w:rFonts w:ascii="Century Gothic" w:hAnsi="Century Gothic"/>
          <w:bCs/>
        </w:rPr>
        <w:t xml:space="preserve">Ordinance standards </w:t>
      </w:r>
      <w:r w:rsidRPr="00591B24">
        <w:rPr>
          <w:rFonts w:ascii="Century Gothic" w:hAnsi="Century Gothic"/>
          <w:bCs/>
          <w:u w:val="single"/>
        </w:rPr>
        <w:t>will</w:t>
      </w:r>
      <w:r>
        <w:rPr>
          <w:rFonts w:ascii="Century Gothic" w:hAnsi="Century Gothic"/>
          <w:bCs/>
        </w:rPr>
        <w:t xml:space="preserve"> result in unnecessary hardship.</w:t>
      </w:r>
    </w:p>
    <w:p w14:paraId="231D3B98" w14:textId="77777777" w:rsidR="00844925" w:rsidRPr="00591B24" w:rsidRDefault="00844925" w:rsidP="00844925">
      <w:pPr>
        <w:numPr>
          <w:ilvl w:val="0"/>
          <w:numId w:val="5"/>
        </w:numPr>
        <w:rPr>
          <w:rFonts w:ascii="Century Gothic" w:hAnsi="Century Gothic"/>
          <w:b/>
          <w:bCs/>
        </w:rPr>
      </w:pPr>
      <w:r>
        <w:rPr>
          <w:rFonts w:ascii="Century Gothic" w:hAnsi="Century Gothic"/>
          <w:bCs/>
        </w:rPr>
        <w:t xml:space="preserve">The hardship </w:t>
      </w:r>
      <w:r w:rsidRPr="00591B24">
        <w:rPr>
          <w:rFonts w:ascii="Century Gothic" w:hAnsi="Century Gothic"/>
          <w:bCs/>
          <w:u w:val="single"/>
        </w:rPr>
        <w:t>is</w:t>
      </w:r>
      <w:r>
        <w:rPr>
          <w:rFonts w:ascii="Century Gothic" w:hAnsi="Century Gothic"/>
          <w:bCs/>
        </w:rPr>
        <w:t xml:space="preserve"> due to unique conditions of the property.</w:t>
      </w:r>
    </w:p>
    <w:p w14:paraId="50CC6400" w14:textId="77777777" w:rsidR="00844925" w:rsidRPr="00F127FD" w:rsidRDefault="00844925" w:rsidP="00591B24">
      <w:pPr>
        <w:numPr>
          <w:ilvl w:val="0"/>
          <w:numId w:val="5"/>
        </w:numPr>
        <w:rPr>
          <w:rFonts w:ascii="Century Gothic" w:hAnsi="Century Gothic"/>
          <w:b/>
          <w:bCs/>
        </w:rPr>
      </w:pPr>
      <w:r>
        <w:rPr>
          <w:rFonts w:ascii="Century Gothic" w:hAnsi="Century Gothic"/>
          <w:bCs/>
        </w:rPr>
        <w:t xml:space="preserve">The variance </w:t>
      </w:r>
      <w:r w:rsidRPr="00591B24">
        <w:rPr>
          <w:rFonts w:ascii="Century Gothic" w:hAnsi="Century Gothic"/>
          <w:bCs/>
          <w:u w:val="single"/>
        </w:rPr>
        <w:t>will not</w:t>
      </w:r>
      <w:r>
        <w:rPr>
          <w:rFonts w:ascii="Century Gothic" w:hAnsi="Century Gothic"/>
          <w:bCs/>
        </w:rPr>
        <w:t xml:space="preserve"> harm the public interests.</w:t>
      </w:r>
    </w:p>
    <w:p w14:paraId="45FB0818" w14:textId="77777777" w:rsidR="002F55B2" w:rsidRDefault="002F55B2" w:rsidP="00672D96">
      <w:pPr>
        <w:rPr>
          <w:rFonts w:ascii="Century Gothic" w:hAnsi="Century Gothic"/>
          <w:b/>
        </w:rPr>
      </w:pPr>
    </w:p>
    <w:p w14:paraId="193AEFAD" w14:textId="77777777" w:rsidR="00000DE1" w:rsidRPr="00000DE1" w:rsidRDefault="00000DE1" w:rsidP="00672D96">
      <w:pPr>
        <w:rPr>
          <w:rFonts w:ascii="Century Gothic" w:hAnsi="Century Gothic"/>
          <w:bCs/>
        </w:rPr>
      </w:pPr>
      <w:r w:rsidRPr="00000DE1">
        <w:rPr>
          <w:rFonts w:ascii="Century Gothic" w:hAnsi="Century Gothic"/>
          <w:bCs/>
          <w:u w:val="single"/>
        </w:rPr>
        <w:t>If</w:t>
      </w:r>
      <w:r w:rsidRPr="00000DE1">
        <w:rPr>
          <w:rFonts w:ascii="Century Gothic" w:hAnsi="Century Gothic"/>
          <w:bCs/>
        </w:rPr>
        <w:t xml:space="preserve"> the applicant has met all three tests, the BOA may apply conditions to the variance to ensure the public interests are not harmed. </w:t>
      </w:r>
    </w:p>
    <w:p w14:paraId="049F31CB" w14:textId="77777777" w:rsidR="00000DE1" w:rsidRDefault="00000DE1" w:rsidP="00672D96">
      <w:pPr>
        <w:rPr>
          <w:rFonts w:ascii="Century Gothic" w:hAnsi="Century Gothic"/>
          <w:b/>
        </w:rPr>
      </w:pPr>
    </w:p>
    <w:p w14:paraId="727495D7" w14:textId="77777777" w:rsidR="002F55B2" w:rsidRDefault="00000DE1" w:rsidP="00672D96">
      <w:pPr>
        <w:rPr>
          <w:rFonts w:ascii="Century Gothic" w:hAnsi="Century Gothic"/>
          <w:b/>
        </w:rPr>
      </w:pPr>
      <w:r>
        <w:rPr>
          <w:rFonts w:ascii="Century Gothic" w:hAnsi="Century Gothic"/>
          <w:b/>
        </w:rPr>
        <w:t>Conditions that apply to this variance:</w:t>
      </w:r>
    </w:p>
    <w:p w14:paraId="49A132E1" w14:textId="77777777" w:rsidR="00000DE1" w:rsidRPr="009A2FFB" w:rsidRDefault="00000DE1" w:rsidP="00000DE1">
      <w:pPr>
        <w:rPr>
          <w:rFonts w:ascii="Century Gothic" w:hAnsi="Century Gothic"/>
          <w:b/>
        </w:rPr>
      </w:pPr>
      <w:r>
        <w:rPr>
          <w:rFonts w:ascii="Century Gothic" w:hAnsi="Century Gothic"/>
          <w:b/>
        </w:rPr>
        <w:t>_________</w:t>
      </w:r>
      <w:r w:rsidRPr="009A2FFB">
        <w:rPr>
          <w:rFonts w:ascii="Century Gothic" w:hAnsi="Century Gothic"/>
          <w:b/>
        </w:rPr>
        <w:t>______________________________________________________________</w:t>
      </w:r>
      <w:r>
        <w:rPr>
          <w:rFonts w:ascii="Century Gothic" w:hAnsi="Century Gothic"/>
          <w:b/>
        </w:rPr>
        <w:t>____</w:t>
      </w:r>
    </w:p>
    <w:p w14:paraId="53128261" w14:textId="77777777" w:rsidR="00000DE1" w:rsidRPr="009A2FFB" w:rsidRDefault="00000DE1" w:rsidP="00000DE1">
      <w:pPr>
        <w:rPr>
          <w:rFonts w:ascii="Century Gothic" w:hAnsi="Century Gothic"/>
          <w:b/>
        </w:rPr>
      </w:pPr>
    </w:p>
    <w:p w14:paraId="4D9D2D1F" w14:textId="77777777" w:rsidR="00000DE1" w:rsidRPr="009A2FFB" w:rsidRDefault="00000DE1" w:rsidP="00000DE1">
      <w:pPr>
        <w:rPr>
          <w:rFonts w:ascii="Century Gothic" w:hAnsi="Century Gothic"/>
          <w:b/>
        </w:rPr>
      </w:pPr>
      <w:r w:rsidRPr="009A2FFB">
        <w:rPr>
          <w:rFonts w:ascii="Century Gothic" w:hAnsi="Century Gothic"/>
          <w:b/>
        </w:rPr>
        <w:t>_______________________________________________________________________</w:t>
      </w:r>
      <w:r>
        <w:rPr>
          <w:rFonts w:ascii="Century Gothic" w:hAnsi="Century Gothic"/>
          <w:b/>
        </w:rPr>
        <w:t>____</w:t>
      </w:r>
    </w:p>
    <w:p w14:paraId="62486C05" w14:textId="77777777" w:rsidR="00000DE1" w:rsidRDefault="00000DE1" w:rsidP="00672D96">
      <w:pPr>
        <w:rPr>
          <w:rFonts w:ascii="Century Gothic" w:hAnsi="Century Gothic"/>
          <w:b/>
        </w:rPr>
      </w:pPr>
    </w:p>
    <w:p w14:paraId="4101652C" w14:textId="77777777" w:rsidR="00000DE1" w:rsidRPr="009A2FFB" w:rsidRDefault="00000DE1" w:rsidP="00000DE1">
      <w:pPr>
        <w:rPr>
          <w:rFonts w:ascii="Century Gothic" w:hAnsi="Century Gothic"/>
          <w:b/>
        </w:rPr>
      </w:pPr>
    </w:p>
    <w:p w14:paraId="4B99056E" w14:textId="77777777" w:rsidR="00000DE1" w:rsidRDefault="00000DE1" w:rsidP="00672D96">
      <w:pPr>
        <w:rPr>
          <w:rFonts w:ascii="Century Gothic" w:hAnsi="Century Gothic"/>
          <w:b/>
        </w:rPr>
      </w:pPr>
    </w:p>
    <w:p w14:paraId="1299C43A" w14:textId="77777777" w:rsidR="00000DE1" w:rsidRDefault="00000DE1" w:rsidP="00672D96">
      <w:pPr>
        <w:rPr>
          <w:rFonts w:ascii="Century Gothic" w:hAnsi="Century Gothic"/>
          <w:b/>
        </w:rPr>
      </w:pPr>
    </w:p>
    <w:p w14:paraId="4998CB80" w14:textId="77777777" w:rsidR="00322732" w:rsidRDefault="001D1F49" w:rsidP="00672D96">
      <w:pPr>
        <w:rPr>
          <w:rFonts w:ascii="Century Gothic" w:hAnsi="Century Gothic"/>
          <w:b/>
        </w:rPr>
      </w:pPr>
      <w:r w:rsidRPr="009A6A35">
        <w:rPr>
          <w:rFonts w:ascii="Century Gothic" w:hAnsi="Century Gothic"/>
          <w:b/>
        </w:rPr>
        <w:t>BOA Member</w:t>
      </w:r>
      <w:r w:rsidR="00672D96" w:rsidRPr="009A6A35">
        <w:rPr>
          <w:rFonts w:ascii="Century Gothic" w:hAnsi="Century Gothic"/>
          <w:b/>
        </w:rPr>
        <w:t xml:space="preserve"> Signature</w:t>
      </w:r>
      <w:r w:rsidR="00672D96" w:rsidRPr="009A6A35">
        <w:rPr>
          <w:rFonts w:ascii="Century Gothic" w:hAnsi="Century Gothic"/>
          <w:b/>
        </w:rPr>
        <w:tab/>
      </w:r>
      <w:r w:rsidR="00672D96" w:rsidRPr="009A6A35">
        <w:rPr>
          <w:rFonts w:ascii="Century Gothic" w:hAnsi="Century Gothic"/>
          <w:b/>
        </w:rPr>
        <w:tab/>
      </w:r>
    </w:p>
    <w:p w14:paraId="1C2E13AA" w14:textId="77777777" w:rsidR="00672D96" w:rsidRPr="009A6A35" w:rsidRDefault="00672D96" w:rsidP="00672D96">
      <w:pPr>
        <w:rPr>
          <w:rFonts w:ascii="Century Gothic" w:hAnsi="Century Gothic"/>
          <w:b/>
        </w:rPr>
      </w:pPr>
      <w:r w:rsidRPr="009A6A35">
        <w:rPr>
          <w:rFonts w:ascii="Century Gothic" w:hAnsi="Century Gothic"/>
          <w:b/>
        </w:rPr>
        <w:t xml:space="preserve">    </w:t>
      </w:r>
      <w:r w:rsidRPr="009A6A35">
        <w:rPr>
          <w:rFonts w:ascii="Century Gothic" w:hAnsi="Century Gothic"/>
          <w:b/>
        </w:rPr>
        <w:tab/>
        <w:t xml:space="preserve">               </w:t>
      </w:r>
      <w:r w:rsidR="00461398" w:rsidRPr="009A6A35">
        <w:rPr>
          <w:rFonts w:ascii="Century Gothic" w:hAnsi="Century Gothic"/>
          <w:b/>
        </w:rPr>
        <w:tab/>
        <w:t xml:space="preserve">    </w:t>
      </w:r>
    </w:p>
    <w:p w14:paraId="0D0AE4FB" w14:textId="77777777" w:rsidR="00672D96" w:rsidRDefault="00672D96" w:rsidP="002C4985">
      <w:pPr>
        <w:rPr>
          <w:rFonts w:ascii="Century Gothic" w:hAnsi="Century Gothic"/>
          <w:b/>
        </w:rPr>
      </w:pPr>
      <w:r>
        <w:rPr>
          <w:rFonts w:ascii="Century Gothic" w:hAnsi="Century Gothic"/>
          <w:b/>
        </w:rPr>
        <w:t>______________________</w:t>
      </w:r>
      <w:r w:rsidR="009A6A35">
        <w:rPr>
          <w:rFonts w:ascii="Century Gothic" w:hAnsi="Century Gothic"/>
          <w:b/>
        </w:rPr>
        <w:t xml:space="preserve">_______________________ </w:t>
      </w:r>
      <w:r w:rsidR="009A6A35">
        <w:rPr>
          <w:rFonts w:ascii="Century Gothic" w:hAnsi="Century Gothic"/>
        </w:rPr>
        <w:t xml:space="preserve">Date </w:t>
      </w:r>
      <w:r w:rsidR="009A6A35">
        <w:rPr>
          <w:rFonts w:ascii="Century Gothic" w:hAnsi="Century Gothic"/>
          <w:b/>
        </w:rPr>
        <w:t>____________________</w:t>
      </w:r>
    </w:p>
    <w:p w14:paraId="1495EF9C" w14:textId="77777777" w:rsidR="009450CB" w:rsidRDefault="009450CB" w:rsidP="009450CB">
      <w:pPr>
        <w:autoSpaceDE w:val="0"/>
        <w:autoSpaceDN w:val="0"/>
        <w:adjustRightInd w:val="0"/>
        <w:rPr>
          <w:b/>
          <w:bCs/>
          <w:sz w:val="40"/>
          <w:szCs w:val="40"/>
        </w:rPr>
      </w:pPr>
      <w:r>
        <w:rPr>
          <w:b/>
          <w:bCs/>
          <w:sz w:val="40"/>
          <w:szCs w:val="40"/>
        </w:rPr>
        <w:lastRenderedPageBreak/>
        <w:t xml:space="preserve">Guiding Principles to Grant </w:t>
      </w:r>
      <w:r w:rsidR="00591B24">
        <w:rPr>
          <w:b/>
          <w:bCs/>
          <w:sz w:val="40"/>
          <w:szCs w:val="40"/>
        </w:rPr>
        <w:t xml:space="preserve">a </w:t>
      </w:r>
      <w:r>
        <w:rPr>
          <w:b/>
          <w:bCs/>
          <w:sz w:val="40"/>
          <w:szCs w:val="40"/>
        </w:rPr>
        <w:t>Variance</w:t>
      </w:r>
    </w:p>
    <w:p w14:paraId="4DDBEF00" w14:textId="77777777" w:rsidR="00591B24" w:rsidRDefault="00591B24" w:rsidP="009450CB">
      <w:pPr>
        <w:autoSpaceDE w:val="0"/>
        <w:autoSpaceDN w:val="0"/>
        <w:adjustRightInd w:val="0"/>
        <w:rPr>
          <w:sz w:val="22"/>
          <w:szCs w:val="22"/>
        </w:rPr>
      </w:pPr>
    </w:p>
    <w:p w14:paraId="0ED769BE" w14:textId="77777777" w:rsidR="009450CB" w:rsidRPr="000B713C" w:rsidRDefault="009450CB" w:rsidP="009450CB">
      <w:pPr>
        <w:autoSpaceDE w:val="0"/>
        <w:autoSpaceDN w:val="0"/>
        <w:adjustRightInd w:val="0"/>
      </w:pPr>
      <w:r w:rsidRPr="000B713C">
        <w:t>There is ample case law concerning variances that provide the following guiding</w:t>
      </w:r>
      <w:r w:rsidR="00591B24" w:rsidRPr="000B713C">
        <w:t xml:space="preserve"> </w:t>
      </w:r>
      <w:r w:rsidRPr="000B713C">
        <w:t>principles that a BOA should rely on in their decision whether to grant a variance.</w:t>
      </w:r>
    </w:p>
    <w:p w14:paraId="3461D779" w14:textId="77777777" w:rsidR="009450CB" w:rsidRPr="000B713C" w:rsidRDefault="009450CB" w:rsidP="009450CB">
      <w:pPr>
        <w:autoSpaceDE w:val="0"/>
        <w:autoSpaceDN w:val="0"/>
        <w:adjustRightInd w:val="0"/>
      </w:pPr>
    </w:p>
    <w:p w14:paraId="55BE4135" w14:textId="77777777" w:rsidR="009450CB" w:rsidRPr="000B713C" w:rsidRDefault="009450CB" w:rsidP="009450CB">
      <w:pPr>
        <w:autoSpaceDE w:val="0"/>
        <w:autoSpaceDN w:val="0"/>
        <w:adjustRightInd w:val="0"/>
      </w:pPr>
      <w:r w:rsidRPr="000B713C">
        <w:rPr>
          <w:b/>
          <w:bCs/>
        </w:rPr>
        <w:t xml:space="preserve">Parcel-as-a-whole. </w:t>
      </w:r>
      <w:r w:rsidRPr="000B713C">
        <w:t>The entire parcel, not just a portion of a parcel, must be considered</w:t>
      </w:r>
      <w:r w:rsidR="00591B24" w:rsidRPr="000B713C">
        <w:t xml:space="preserve"> </w:t>
      </w:r>
      <w:r w:rsidRPr="000B713C">
        <w:t xml:space="preserve">when applying the unnecessary hardship test. </w:t>
      </w:r>
      <w:r w:rsidRPr="000B713C">
        <w:rPr>
          <w:i/>
          <w:iCs/>
        </w:rPr>
        <w:t xml:space="preserve">State v. Winnebago County, </w:t>
      </w:r>
      <w:r w:rsidRPr="000B713C">
        <w:t>196 Wis.2d 836, 844-45</w:t>
      </w:r>
      <w:r w:rsidR="00591B24" w:rsidRPr="000B713C">
        <w:t xml:space="preserve"> </w:t>
      </w:r>
      <w:r w:rsidRPr="000B713C">
        <w:t>n.8, 540 N.W.2d 6 (Ct. app. 1995)</w:t>
      </w:r>
    </w:p>
    <w:p w14:paraId="3CF2D8B6" w14:textId="77777777" w:rsidR="009450CB" w:rsidRPr="000B713C" w:rsidRDefault="009450CB" w:rsidP="009450CB">
      <w:pPr>
        <w:autoSpaceDE w:val="0"/>
        <w:autoSpaceDN w:val="0"/>
        <w:adjustRightInd w:val="0"/>
      </w:pPr>
    </w:p>
    <w:p w14:paraId="327CCA39" w14:textId="77777777" w:rsidR="009450CB" w:rsidRPr="000B713C" w:rsidRDefault="009450CB" w:rsidP="009450CB">
      <w:pPr>
        <w:autoSpaceDE w:val="0"/>
        <w:autoSpaceDN w:val="0"/>
        <w:adjustRightInd w:val="0"/>
      </w:pPr>
      <w:r w:rsidRPr="000B713C">
        <w:rPr>
          <w:b/>
          <w:bCs/>
        </w:rPr>
        <w:t xml:space="preserve">Self-imposed hardship. </w:t>
      </w:r>
      <w:r w:rsidRPr="000B713C">
        <w:t>An applicant may not claim hardship because of conditions</w:t>
      </w:r>
      <w:r w:rsidR="00591B24" w:rsidRPr="000B713C">
        <w:t xml:space="preserve"> </w:t>
      </w:r>
      <w:r w:rsidRPr="000B713C">
        <w:t xml:space="preserve">created by his/her actions. </w:t>
      </w:r>
      <w:r w:rsidRPr="000B713C">
        <w:rPr>
          <w:i/>
          <w:iCs/>
        </w:rPr>
        <w:t xml:space="preserve">State ex rel. </w:t>
      </w:r>
      <w:proofErr w:type="spellStart"/>
      <w:r w:rsidRPr="000B713C">
        <w:rPr>
          <w:i/>
          <w:iCs/>
        </w:rPr>
        <w:t>Markdale</w:t>
      </w:r>
      <w:proofErr w:type="spellEnd"/>
      <w:r w:rsidRPr="000B713C">
        <w:rPr>
          <w:i/>
          <w:iCs/>
        </w:rPr>
        <w:t xml:space="preserve"> Corp. v. Bd. of Appeals of Milwaukee, </w:t>
      </w:r>
      <w:r w:rsidRPr="000B713C">
        <w:t>27 Wis. 2d</w:t>
      </w:r>
      <w:r w:rsidR="00591B24" w:rsidRPr="000B713C">
        <w:t xml:space="preserve"> </w:t>
      </w:r>
      <w:r w:rsidRPr="000B713C">
        <w:t>468, 479, 247 N.W.2d 98 (1976)</w:t>
      </w:r>
    </w:p>
    <w:p w14:paraId="0FB78278" w14:textId="77777777" w:rsidR="009450CB" w:rsidRPr="000B713C" w:rsidRDefault="009450CB" w:rsidP="009450CB">
      <w:pPr>
        <w:autoSpaceDE w:val="0"/>
        <w:autoSpaceDN w:val="0"/>
        <w:adjustRightInd w:val="0"/>
      </w:pPr>
    </w:p>
    <w:p w14:paraId="7CDA4E42" w14:textId="77777777" w:rsidR="009450CB" w:rsidRPr="000B713C" w:rsidRDefault="009450CB" w:rsidP="009450CB">
      <w:pPr>
        <w:autoSpaceDE w:val="0"/>
        <w:autoSpaceDN w:val="0"/>
        <w:adjustRightInd w:val="0"/>
      </w:pPr>
      <w:r w:rsidRPr="000B713C">
        <w:rPr>
          <w:b/>
          <w:bCs/>
        </w:rPr>
        <w:t xml:space="preserve">Circumstances of applicant. </w:t>
      </w:r>
      <w:r w:rsidRPr="000B713C">
        <w:t>Specific circumstances of the applicant, such as a growing</w:t>
      </w:r>
      <w:r w:rsidR="00591B24" w:rsidRPr="000B713C">
        <w:t xml:space="preserve"> </w:t>
      </w:r>
      <w:r w:rsidRPr="000B713C">
        <w:t xml:space="preserve">family or desire for a larger garage are not a factor in deciding variances. </w:t>
      </w:r>
      <w:r w:rsidRPr="000B713C">
        <w:rPr>
          <w:i/>
          <w:iCs/>
        </w:rPr>
        <w:t xml:space="preserve">Snyder </w:t>
      </w:r>
      <w:proofErr w:type="spellStart"/>
      <w:proofErr w:type="gramStart"/>
      <w:r w:rsidRPr="000B713C">
        <w:rPr>
          <w:i/>
          <w:iCs/>
        </w:rPr>
        <w:t>v.Waukesha</w:t>
      </w:r>
      <w:proofErr w:type="spellEnd"/>
      <w:proofErr w:type="gramEnd"/>
      <w:r w:rsidRPr="000B713C">
        <w:rPr>
          <w:i/>
          <w:iCs/>
        </w:rPr>
        <w:t xml:space="preserve"> County Zoning Bd. of Adjustment, </w:t>
      </w:r>
      <w:r w:rsidRPr="000B713C">
        <w:t>74 Wis. 2d 468, 478-79, 247 N.W.2d 98 (1976)</w:t>
      </w:r>
    </w:p>
    <w:p w14:paraId="1FC39945" w14:textId="77777777" w:rsidR="009450CB" w:rsidRPr="000B713C" w:rsidRDefault="009450CB" w:rsidP="009450CB">
      <w:pPr>
        <w:autoSpaceDE w:val="0"/>
        <w:autoSpaceDN w:val="0"/>
        <w:adjustRightInd w:val="0"/>
      </w:pPr>
    </w:p>
    <w:p w14:paraId="49ACB3DE" w14:textId="77777777" w:rsidR="009450CB" w:rsidRPr="000B713C" w:rsidRDefault="009450CB" w:rsidP="009450CB">
      <w:pPr>
        <w:autoSpaceDE w:val="0"/>
        <w:autoSpaceDN w:val="0"/>
        <w:adjustRightInd w:val="0"/>
      </w:pPr>
      <w:r w:rsidRPr="000B713C">
        <w:rPr>
          <w:b/>
          <w:bCs/>
        </w:rPr>
        <w:t xml:space="preserve">Financial hardship. </w:t>
      </w:r>
      <w:r w:rsidRPr="000B713C">
        <w:t>Economic loss or financial hardship do not justify a variance. The</w:t>
      </w:r>
      <w:r w:rsidR="00591B24" w:rsidRPr="000B713C">
        <w:t xml:space="preserve"> </w:t>
      </w:r>
      <w:r w:rsidRPr="000B713C">
        <w:t>test is not whether a variance would maximize economic value of a property or be the</w:t>
      </w:r>
      <w:r w:rsidR="00591B24" w:rsidRPr="000B713C">
        <w:t xml:space="preserve"> </w:t>
      </w:r>
      <w:r w:rsidRPr="000B713C">
        <w:t xml:space="preserve">least expensive option for the applicant. </w:t>
      </w:r>
      <w:r w:rsidRPr="000B713C">
        <w:rPr>
          <w:i/>
          <w:iCs/>
        </w:rPr>
        <w:t xml:space="preserve">State v. Winnebago County, </w:t>
      </w:r>
      <w:r w:rsidRPr="000B713C">
        <w:t>196 Wis. 2d 836, 844-45, 540</w:t>
      </w:r>
      <w:r w:rsidR="00591B24" w:rsidRPr="000B713C">
        <w:t xml:space="preserve"> </w:t>
      </w:r>
      <w:r w:rsidRPr="000B713C">
        <w:t xml:space="preserve">N.W.2d 6 (Ct. App. 1995); </w:t>
      </w:r>
      <w:r w:rsidRPr="000B713C">
        <w:rPr>
          <w:i/>
          <w:iCs/>
        </w:rPr>
        <w:t xml:space="preserve">State v. Ozaukee County Bd. of Adjustment, </w:t>
      </w:r>
      <w:r w:rsidRPr="000B713C">
        <w:t>152 Wis. 2d 552, 563, 449 N.W.2d</w:t>
      </w:r>
      <w:r w:rsidR="00591B24" w:rsidRPr="000B713C">
        <w:t xml:space="preserve"> </w:t>
      </w:r>
      <w:r w:rsidRPr="000B713C">
        <w:t>47 (Ct. App. 1989)</w:t>
      </w:r>
    </w:p>
    <w:p w14:paraId="0562CB0E" w14:textId="77777777" w:rsidR="009450CB" w:rsidRPr="000B713C" w:rsidRDefault="009450CB" w:rsidP="009450CB">
      <w:pPr>
        <w:autoSpaceDE w:val="0"/>
        <w:autoSpaceDN w:val="0"/>
        <w:adjustRightInd w:val="0"/>
      </w:pPr>
    </w:p>
    <w:p w14:paraId="020B098F" w14:textId="77777777" w:rsidR="009450CB" w:rsidRPr="000B713C" w:rsidRDefault="009450CB" w:rsidP="009450CB">
      <w:pPr>
        <w:autoSpaceDE w:val="0"/>
        <w:autoSpaceDN w:val="0"/>
        <w:adjustRightInd w:val="0"/>
      </w:pPr>
      <w:r w:rsidRPr="000B713C">
        <w:rPr>
          <w:b/>
          <w:bCs/>
        </w:rPr>
        <w:t xml:space="preserve">Uniqueness of the property. </w:t>
      </w:r>
      <w:r w:rsidRPr="000B713C">
        <w:t>Where the hardship imposed upon an applicant’s property is no greater than that suffered by nearby lands, the BOA may not grant a variance to relieve it. To grant such relief would be unfair to owners who remain subject to the general restrictions of the zoning ordinance, and it would endanger the</w:t>
      </w:r>
      <w:r w:rsidR="00591B24" w:rsidRPr="000B713C">
        <w:t xml:space="preserve"> </w:t>
      </w:r>
      <w:r w:rsidRPr="000B713C">
        <w:t xml:space="preserve">community plan by piecemeal exemption. </w:t>
      </w:r>
      <w:proofErr w:type="spellStart"/>
      <w:r w:rsidRPr="000B713C">
        <w:rPr>
          <w:i/>
          <w:iCs/>
        </w:rPr>
        <w:t>Arndorfer</w:t>
      </w:r>
      <w:proofErr w:type="spellEnd"/>
      <w:r w:rsidRPr="000B713C">
        <w:rPr>
          <w:i/>
          <w:iCs/>
        </w:rPr>
        <w:t xml:space="preserve"> v. Sauk County Bd. Of Adjustment</w:t>
      </w:r>
      <w:r w:rsidRPr="000B713C">
        <w:t>, 162 Wis. 2d 246, 469 N.W.2d 831 (1991).</w:t>
      </w:r>
    </w:p>
    <w:p w14:paraId="34CE0A41" w14:textId="77777777" w:rsidR="009450CB" w:rsidRPr="000B713C" w:rsidRDefault="009450CB" w:rsidP="009450CB">
      <w:pPr>
        <w:autoSpaceDE w:val="0"/>
        <w:autoSpaceDN w:val="0"/>
        <w:adjustRightInd w:val="0"/>
        <w:rPr>
          <w:b/>
          <w:bCs/>
        </w:rPr>
      </w:pPr>
    </w:p>
    <w:p w14:paraId="64606594" w14:textId="77777777" w:rsidR="009450CB" w:rsidRPr="000B713C" w:rsidRDefault="009450CB" w:rsidP="009450CB">
      <w:pPr>
        <w:autoSpaceDE w:val="0"/>
        <w:autoSpaceDN w:val="0"/>
        <w:adjustRightInd w:val="0"/>
      </w:pPr>
      <w:r w:rsidRPr="000B713C">
        <w:rPr>
          <w:b/>
          <w:bCs/>
        </w:rPr>
        <w:t xml:space="preserve">Nearby violations. </w:t>
      </w:r>
      <w:r w:rsidRPr="000B713C">
        <w:t xml:space="preserve">Nearby ordinance violations, even if </w:t>
      </w:r>
      <w:proofErr w:type="gramStart"/>
      <w:r w:rsidRPr="000B713C">
        <w:t>similar to</w:t>
      </w:r>
      <w:proofErr w:type="gramEnd"/>
      <w:r w:rsidRPr="000B713C">
        <w:t xml:space="preserve"> the requested</w:t>
      </w:r>
      <w:r w:rsidR="00591B24" w:rsidRPr="000B713C">
        <w:t xml:space="preserve"> </w:t>
      </w:r>
      <w:r w:rsidRPr="000B713C">
        <w:t xml:space="preserve">variance, do not provide grounds for granting a variance. </w:t>
      </w:r>
      <w:r w:rsidRPr="000B713C">
        <w:rPr>
          <w:i/>
          <w:iCs/>
        </w:rPr>
        <w:t>Von Elm v. Bd. of Appeals of</w:t>
      </w:r>
      <w:r w:rsidR="00591B24" w:rsidRPr="000B713C">
        <w:t xml:space="preserve"> </w:t>
      </w:r>
      <w:r w:rsidRPr="000B713C">
        <w:rPr>
          <w:i/>
          <w:iCs/>
        </w:rPr>
        <w:t xml:space="preserve">Hempstead, </w:t>
      </w:r>
      <w:r w:rsidRPr="000B713C">
        <w:t>258 A.D. 989, 17 N.Y.S.2d 548 (N.Y. App. Dev. 1940)</w:t>
      </w:r>
    </w:p>
    <w:p w14:paraId="62EBF3C5" w14:textId="77777777" w:rsidR="009450CB" w:rsidRPr="000B713C" w:rsidRDefault="009450CB" w:rsidP="009450CB">
      <w:pPr>
        <w:autoSpaceDE w:val="0"/>
        <w:autoSpaceDN w:val="0"/>
        <w:adjustRightInd w:val="0"/>
      </w:pPr>
    </w:p>
    <w:p w14:paraId="748946A1" w14:textId="77777777" w:rsidR="009450CB" w:rsidRPr="000B713C" w:rsidRDefault="009450CB" w:rsidP="009450CB">
      <w:pPr>
        <w:autoSpaceDE w:val="0"/>
        <w:autoSpaceDN w:val="0"/>
        <w:adjustRightInd w:val="0"/>
      </w:pPr>
      <w:r w:rsidRPr="000B713C">
        <w:rPr>
          <w:b/>
          <w:bCs/>
        </w:rPr>
        <w:t xml:space="preserve">Previous variance requests. </w:t>
      </w:r>
      <w:r w:rsidRPr="000B713C">
        <w:t xml:space="preserve">Previously granted or denied variances, even if </w:t>
      </w:r>
      <w:proofErr w:type="gramStart"/>
      <w:r w:rsidRPr="000B713C">
        <w:t>similar to</w:t>
      </w:r>
      <w:proofErr w:type="gramEnd"/>
      <w:r w:rsidR="00591B24" w:rsidRPr="000B713C">
        <w:t xml:space="preserve"> </w:t>
      </w:r>
      <w:r w:rsidRPr="000B713C">
        <w:t>the requested variance, cannot be used in deciding a variance. The decision must be</w:t>
      </w:r>
      <w:r w:rsidR="00591B24" w:rsidRPr="000B713C">
        <w:t xml:space="preserve"> </w:t>
      </w:r>
      <w:r w:rsidRPr="000B713C">
        <w:t>based on the facts of the individual case before the BOA.</w:t>
      </w:r>
    </w:p>
    <w:p w14:paraId="6D98A12B" w14:textId="77777777" w:rsidR="009450CB" w:rsidRPr="000B713C" w:rsidRDefault="009450CB" w:rsidP="009450CB">
      <w:pPr>
        <w:autoSpaceDE w:val="0"/>
        <w:autoSpaceDN w:val="0"/>
        <w:adjustRightInd w:val="0"/>
      </w:pPr>
    </w:p>
    <w:p w14:paraId="4CD2119C" w14:textId="77777777" w:rsidR="009450CB" w:rsidRPr="000B713C" w:rsidRDefault="009450CB" w:rsidP="009450CB">
      <w:pPr>
        <w:autoSpaceDE w:val="0"/>
        <w:autoSpaceDN w:val="0"/>
        <w:adjustRightInd w:val="0"/>
      </w:pPr>
      <w:r w:rsidRPr="000B713C">
        <w:rPr>
          <w:b/>
          <w:bCs/>
        </w:rPr>
        <w:t xml:space="preserve">Objections from neighbors. </w:t>
      </w:r>
      <w:r w:rsidRPr="000B713C">
        <w:t>The lack of objections from neighbors does not provide a</w:t>
      </w:r>
      <w:r w:rsidR="00591B24" w:rsidRPr="000B713C">
        <w:t xml:space="preserve"> </w:t>
      </w:r>
      <w:r w:rsidRPr="000B713C">
        <w:t xml:space="preserve">basis for granting a variance. </w:t>
      </w:r>
      <w:proofErr w:type="spellStart"/>
      <w:r w:rsidRPr="000B713C">
        <w:rPr>
          <w:i/>
          <w:iCs/>
        </w:rPr>
        <w:t>Arndorfer</w:t>
      </w:r>
      <w:proofErr w:type="spellEnd"/>
      <w:r w:rsidRPr="000B713C">
        <w:rPr>
          <w:i/>
          <w:iCs/>
        </w:rPr>
        <w:t xml:space="preserve"> v. Sauk County Bd. of Adjustment, </w:t>
      </w:r>
      <w:r w:rsidRPr="000B713C">
        <w:t>162 Wis. 2d 246, 254, 469</w:t>
      </w:r>
      <w:r w:rsidR="00591B24" w:rsidRPr="000B713C">
        <w:t xml:space="preserve"> </w:t>
      </w:r>
      <w:r w:rsidRPr="000B713C">
        <w:t>N.W.2d 831 (1991)</w:t>
      </w:r>
    </w:p>
    <w:p w14:paraId="2946DB82" w14:textId="77777777" w:rsidR="009450CB" w:rsidRPr="000B713C" w:rsidRDefault="009450CB" w:rsidP="009450CB">
      <w:pPr>
        <w:autoSpaceDE w:val="0"/>
        <w:autoSpaceDN w:val="0"/>
        <w:adjustRightInd w:val="0"/>
      </w:pPr>
    </w:p>
    <w:p w14:paraId="2CBB9D9F" w14:textId="77777777" w:rsidR="009450CB" w:rsidRPr="000B713C" w:rsidRDefault="009450CB" w:rsidP="00591B24">
      <w:pPr>
        <w:autoSpaceDE w:val="0"/>
        <w:autoSpaceDN w:val="0"/>
        <w:adjustRightInd w:val="0"/>
      </w:pPr>
      <w:r w:rsidRPr="000B713C">
        <w:rPr>
          <w:b/>
          <w:bCs/>
        </w:rPr>
        <w:t xml:space="preserve">Variance to meet code. </w:t>
      </w:r>
      <w:r w:rsidRPr="000B713C">
        <w:t>Variances to allow a structure to be brought into compliance</w:t>
      </w:r>
      <w:r w:rsidR="00591B24" w:rsidRPr="000B713C">
        <w:t xml:space="preserve"> </w:t>
      </w:r>
      <w:r w:rsidRPr="000B713C">
        <w:t xml:space="preserve">with building code requirements have been upheld by the courts. </w:t>
      </w:r>
      <w:proofErr w:type="spellStart"/>
      <w:r w:rsidRPr="000B713C">
        <w:rPr>
          <w:i/>
          <w:iCs/>
        </w:rPr>
        <w:t>Thalhofer</w:t>
      </w:r>
      <w:proofErr w:type="spellEnd"/>
      <w:r w:rsidRPr="000B713C">
        <w:rPr>
          <w:i/>
          <w:iCs/>
        </w:rPr>
        <w:t xml:space="preserve"> v. Patri, </w:t>
      </w:r>
      <w:r w:rsidRPr="000B713C">
        <w:t>240 Wis.</w:t>
      </w:r>
      <w:r w:rsidR="00591B24" w:rsidRPr="000B713C">
        <w:t xml:space="preserve"> </w:t>
      </w:r>
      <w:r w:rsidRPr="000B713C">
        <w:t xml:space="preserve">404, 3 N.W.2d 761 (1942); </w:t>
      </w:r>
      <w:r w:rsidRPr="000B713C">
        <w:rPr>
          <w:i/>
          <w:iCs/>
        </w:rPr>
        <w:t xml:space="preserve">State v. Kenosha County Bd. of Adjustment, </w:t>
      </w:r>
      <w:r w:rsidRPr="000B713C">
        <w:t>218 Wis. 2d 396, 419-420, 577</w:t>
      </w:r>
      <w:r w:rsidR="00591B24" w:rsidRPr="000B713C">
        <w:t xml:space="preserve"> </w:t>
      </w:r>
      <w:r w:rsidRPr="000B713C">
        <w:t>N.W.2d 813 (1998)</w:t>
      </w:r>
    </w:p>
    <w:sectPr w:rsidR="009450CB" w:rsidRPr="000B713C" w:rsidSect="004732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CC1D" w14:textId="77777777" w:rsidR="00C37C44" w:rsidRDefault="00C37C44" w:rsidP="00322732">
      <w:r>
        <w:separator/>
      </w:r>
    </w:p>
  </w:endnote>
  <w:endnote w:type="continuationSeparator" w:id="0">
    <w:p w14:paraId="110FFD37" w14:textId="77777777" w:rsidR="00C37C44" w:rsidRDefault="00C37C44" w:rsidP="0032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9379" w14:textId="77777777" w:rsidR="00C37C44" w:rsidRDefault="00C37C44" w:rsidP="00322732">
      <w:r>
        <w:separator/>
      </w:r>
    </w:p>
  </w:footnote>
  <w:footnote w:type="continuationSeparator" w:id="0">
    <w:p w14:paraId="3FE9F23F" w14:textId="77777777" w:rsidR="00C37C44" w:rsidRDefault="00C37C44" w:rsidP="00322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0E8B"/>
    <w:multiLevelType w:val="hybridMultilevel"/>
    <w:tmpl w:val="A77A8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31B15"/>
    <w:multiLevelType w:val="hybridMultilevel"/>
    <w:tmpl w:val="09404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A2442"/>
    <w:multiLevelType w:val="hybridMultilevel"/>
    <w:tmpl w:val="84BCAF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B6025"/>
    <w:multiLevelType w:val="hybridMultilevel"/>
    <w:tmpl w:val="6EB226B0"/>
    <w:lvl w:ilvl="0" w:tplc="AC0CD426">
      <w:start w:val="1"/>
      <w:numFmt w:val="bullet"/>
      <w:lvlText w:val="□"/>
      <w:lvlJc w:val="left"/>
      <w:pPr>
        <w:ind w:left="1080" w:hanging="360"/>
      </w:pPr>
      <w:rPr>
        <w:rFonts w:ascii="Century Gothic" w:hAnsi="Century Goth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9E56AA"/>
    <w:multiLevelType w:val="hybridMultilevel"/>
    <w:tmpl w:val="4A5AB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63917"/>
    <w:multiLevelType w:val="hybridMultilevel"/>
    <w:tmpl w:val="4DCAA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C23D64"/>
    <w:multiLevelType w:val="hybridMultilevel"/>
    <w:tmpl w:val="8B2218F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8585077">
    <w:abstractNumId w:val="0"/>
  </w:num>
  <w:num w:numId="2" w16cid:durableId="472529958">
    <w:abstractNumId w:val="4"/>
  </w:num>
  <w:num w:numId="3" w16cid:durableId="1911696382">
    <w:abstractNumId w:val="1"/>
  </w:num>
  <w:num w:numId="4" w16cid:durableId="1801026960">
    <w:abstractNumId w:val="2"/>
  </w:num>
  <w:num w:numId="5" w16cid:durableId="1222668095">
    <w:abstractNumId w:val="6"/>
  </w:num>
  <w:num w:numId="6" w16cid:durableId="855192277">
    <w:abstractNumId w:val="5"/>
  </w:num>
  <w:num w:numId="7" w16cid:durableId="1531914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85"/>
    <w:rsid w:val="00000DE1"/>
    <w:rsid w:val="000B713C"/>
    <w:rsid w:val="000C7A95"/>
    <w:rsid w:val="00163933"/>
    <w:rsid w:val="001674B0"/>
    <w:rsid w:val="001B2AD2"/>
    <w:rsid w:val="001D1F49"/>
    <w:rsid w:val="00227295"/>
    <w:rsid w:val="00262ECF"/>
    <w:rsid w:val="002C4985"/>
    <w:rsid w:val="002F55B2"/>
    <w:rsid w:val="00322732"/>
    <w:rsid w:val="00390424"/>
    <w:rsid w:val="003F2017"/>
    <w:rsid w:val="003F72B9"/>
    <w:rsid w:val="00461398"/>
    <w:rsid w:val="00461998"/>
    <w:rsid w:val="004732A9"/>
    <w:rsid w:val="00591B24"/>
    <w:rsid w:val="005D2A6F"/>
    <w:rsid w:val="006015D0"/>
    <w:rsid w:val="00672D96"/>
    <w:rsid w:val="00673C5B"/>
    <w:rsid w:val="0068051F"/>
    <w:rsid w:val="006936F1"/>
    <w:rsid w:val="006B1D31"/>
    <w:rsid w:val="006B7E04"/>
    <w:rsid w:val="007664C3"/>
    <w:rsid w:val="00780F9F"/>
    <w:rsid w:val="007C4AEF"/>
    <w:rsid w:val="00844925"/>
    <w:rsid w:val="00925E4C"/>
    <w:rsid w:val="009450CB"/>
    <w:rsid w:val="009A2FFB"/>
    <w:rsid w:val="009A6A35"/>
    <w:rsid w:val="00AF34B1"/>
    <w:rsid w:val="00B92877"/>
    <w:rsid w:val="00BA6575"/>
    <w:rsid w:val="00BF148C"/>
    <w:rsid w:val="00C115D2"/>
    <w:rsid w:val="00C37C44"/>
    <w:rsid w:val="00C816F6"/>
    <w:rsid w:val="00CC5561"/>
    <w:rsid w:val="00D17527"/>
    <w:rsid w:val="00D2385A"/>
    <w:rsid w:val="00D602D6"/>
    <w:rsid w:val="00F127FD"/>
    <w:rsid w:val="1E06B50A"/>
    <w:rsid w:val="3DBA62FF"/>
    <w:rsid w:val="40916E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EE3AF"/>
  <w15:chartTrackingRefBased/>
  <w15:docId w15:val="{2702142C-9FFA-4E52-845E-D339567A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4985"/>
    <w:rPr>
      <w:sz w:val="24"/>
      <w:szCs w:val="24"/>
      <w:lang w:eastAsia="en-US"/>
    </w:rPr>
  </w:style>
  <w:style w:type="paragraph" w:styleId="Heading1">
    <w:name w:val="heading 1"/>
    <w:basedOn w:val="Normal"/>
    <w:next w:val="Normal"/>
    <w:qFormat/>
    <w:rsid w:val="002C4985"/>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2732"/>
    <w:pPr>
      <w:tabs>
        <w:tab w:val="center" w:pos="4680"/>
        <w:tab w:val="right" w:pos="9360"/>
      </w:tabs>
    </w:pPr>
  </w:style>
  <w:style w:type="character" w:customStyle="1" w:styleId="HeaderChar">
    <w:name w:val="Header Char"/>
    <w:link w:val="Header"/>
    <w:rsid w:val="00322732"/>
    <w:rPr>
      <w:sz w:val="24"/>
      <w:szCs w:val="24"/>
    </w:rPr>
  </w:style>
  <w:style w:type="paragraph" w:styleId="Footer">
    <w:name w:val="footer"/>
    <w:basedOn w:val="Normal"/>
    <w:link w:val="FooterChar"/>
    <w:uiPriority w:val="99"/>
    <w:rsid w:val="00322732"/>
    <w:pPr>
      <w:tabs>
        <w:tab w:val="center" w:pos="4680"/>
        <w:tab w:val="right" w:pos="9360"/>
      </w:tabs>
    </w:pPr>
  </w:style>
  <w:style w:type="character" w:customStyle="1" w:styleId="FooterChar">
    <w:name w:val="Footer Char"/>
    <w:link w:val="Footer"/>
    <w:uiPriority w:val="99"/>
    <w:rsid w:val="00322732"/>
    <w:rPr>
      <w:sz w:val="24"/>
      <w:szCs w:val="24"/>
    </w:rPr>
  </w:style>
  <w:style w:type="paragraph" w:styleId="BalloonText">
    <w:name w:val="Balloon Text"/>
    <w:basedOn w:val="Normal"/>
    <w:link w:val="BalloonTextChar"/>
    <w:rsid w:val="00322732"/>
    <w:rPr>
      <w:rFonts w:ascii="Tahoma" w:hAnsi="Tahoma" w:cs="Tahoma"/>
      <w:sz w:val="16"/>
      <w:szCs w:val="16"/>
    </w:rPr>
  </w:style>
  <w:style w:type="character" w:customStyle="1" w:styleId="BalloonTextChar">
    <w:name w:val="Balloon Text Char"/>
    <w:link w:val="BalloonText"/>
    <w:rsid w:val="00322732"/>
    <w:rPr>
      <w:rFonts w:ascii="Tahoma" w:hAnsi="Tahoma" w:cs="Tahoma"/>
      <w:sz w:val="16"/>
      <w:szCs w:val="16"/>
    </w:rPr>
  </w:style>
  <w:style w:type="character" w:styleId="CommentReference">
    <w:name w:val="annotation reference"/>
    <w:rsid w:val="005D2A6F"/>
    <w:rPr>
      <w:sz w:val="16"/>
      <w:szCs w:val="16"/>
    </w:rPr>
  </w:style>
  <w:style w:type="paragraph" w:styleId="CommentText">
    <w:name w:val="annotation text"/>
    <w:basedOn w:val="Normal"/>
    <w:link w:val="CommentTextChar"/>
    <w:rsid w:val="005D2A6F"/>
    <w:rPr>
      <w:sz w:val="20"/>
      <w:szCs w:val="20"/>
    </w:rPr>
  </w:style>
  <w:style w:type="character" w:customStyle="1" w:styleId="CommentTextChar">
    <w:name w:val="Comment Text Char"/>
    <w:basedOn w:val="DefaultParagraphFont"/>
    <w:link w:val="CommentText"/>
    <w:rsid w:val="005D2A6F"/>
  </w:style>
  <w:style w:type="paragraph" w:styleId="CommentSubject">
    <w:name w:val="annotation subject"/>
    <w:basedOn w:val="CommentText"/>
    <w:next w:val="CommentText"/>
    <w:link w:val="CommentSubjectChar"/>
    <w:rsid w:val="005D2A6F"/>
    <w:rPr>
      <w:b/>
      <w:bCs/>
    </w:rPr>
  </w:style>
  <w:style w:type="character" w:customStyle="1" w:styleId="CommentSubjectChar">
    <w:name w:val="Comment Subject Char"/>
    <w:link w:val="CommentSubject"/>
    <w:rsid w:val="005D2A6F"/>
    <w:rPr>
      <w:b/>
      <w:bCs/>
    </w:rPr>
  </w:style>
  <w:style w:type="character" w:customStyle="1" w:styleId="sr-only">
    <w:name w:val="sr-only"/>
    <w:rsid w:val="004732A9"/>
  </w:style>
  <w:style w:type="paragraph" w:customStyle="1" w:styleId="p0">
    <w:name w:val="p0"/>
    <w:basedOn w:val="Normal"/>
    <w:rsid w:val="004732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5606">
      <w:bodyDiv w:val="1"/>
      <w:marLeft w:val="0"/>
      <w:marRight w:val="0"/>
      <w:marTop w:val="0"/>
      <w:marBottom w:val="0"/>
      <w:divBdr>
        <w:top w:val="none" w:sz="0" w:space="0" w:color="auto"/>
        <w:left w:val="none" w:sz="0" w:space="0" w:color="auto"/>
        <w:bottom w:val="none" w:sz="0" w:space="0" w:color="auto"/>
        <w:right w:val="none" w:sz="0" w:space="0" w:color="auto"/>
      </w:divBdr>
      <w:divsChild>
        <w:div w:id="345329399">
          <w:marLeft w:val="0"/>
          <w:marRight w:val="0"/>
          <w:marTop w:val="0"/>
          <w:marBottom w:val="0"/>
          <w:divBdr>
            <w:top w:val="none" w:sz="0" w:space="0" w:color="auto"/>
            <w:left w:val="none" w:sz="0" w:space="0" w:color="auto"/>
            <w:bottom w:val="none" w:sz="0" w:space="0" w:color="auto"/>
            <w:right w:val="none" w:sz="0" w:space="0" w:color="auto"/>
          </w:divBdr>
        </w:div>
        <w:div w:id="2064911208">
          <w:marLeft w:val="0"/>
          <w:marRight w:val="0"/>
          <w:marTop w:val="120"/>
          <w:marBottom w:val="120"/>
          <w:divBdr>
            <w:top w:val="none" w:sz="0" w:space="0" w:color="auto"/>
            <w:left w:val="none" w:sz="0" w:space="0" w:color="auto"/>
            <w:bottom w:val="none" w:sz="0" w:space="0" w:color="auto"/>
            <w:right w:val="none" w:sz="0" w:space="0" w:color="auto"/>
          </w:divBdr>
          <w:divsChild>
            <w:div w:id="1140801994">
              <w:marLeft w:val="0"/>
              <w:marRight w:val="0"/>
              <w:marTop w:val="0"/>
              <w:marBottom w:val="0"/>
              <w:divBdr>
                <w:top w:val="none" w:sz="0" w:space="0" w:color="auto"/>
                <w:left w:val="none" w:sz="0" w:space="0" w:color="auto"/>
                <w:bottom w:val="none" w:sz="0" w:space="0" w:color="auto"/>
                <w:right w:val="none" w:sz="0" w:space="0" w:color="auto"/>
              </w:divBdr>
              <w:divsChild>
                <w:div w:id="872226987">
                  <w:marLeft w:val="0"/>
                  <w:marRight w:val="0"/>
                  <w:marTop w:val="0"/>
                  <w:marBottom w:val="0"/>
                  <w:divBdr>
                    <w:top w:val="none" w:sz="0" w:space="0" w:color="auto"/>
                    <w:left w:val="none" w:sz="0" w:space="0" w:color="auto"/>
                    <w:bottom w:val="none" w:sz="0" w:space="0" w:color="auto"/>
                    <w:right w:val="none" w:sz="0" w:space="0" w:color="auto"/>
                  </w:divBdr>
                </w:div>
              </w:divsChild>
            </w:div>
            <w:div w:id="1271234447">
              <w:marLeft w:val="0"/>
              <w:marRight w:val="0"/>
              <w:marTop w:val="0"/>
              <w:marBottom w:val="0"/>
              <w:divBdr>
                <w:top w:val="none" w:sz="0" w:space="0" w:color="auto"/>
                <w:left w:val="none" w:sz="0" w:space="0" w:color="auto"/>
                <w:bottom w:val="none" w:sz="0" w:space="0" w:color="auto"/>
                <w:right w:val="none" w:sz="0" w:space="0" w:color="auto"/>
              </w:divBdr>
              <w:divsChild>
                <w:div w:id="4742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36E9AC86174642B20E835789D8A787" ma:contentTypeVersion="1" ma:contentTypeDescription="Create a new document." ma:contentTypeScope="" ma:versionID="ddb8f7941a8c0c222e3349d2fe3f79dd">
  <xsd:schema xmlns:xsd="http://www.w3.org/2001/XMLSchema" xmlns:xs="http://www.w3.org/2001/XMLSchema" xmlns:p="http://schemas.microsoft.com/office/2006/metadata/properties" xmlns:ns1="http://schemas.microsoft.com/sharepoint/v3" targetNamespace="http://schemas.microsoft.com/office/2006/metadata/properties" ma:root="true" ma:fieldsID="af800a536deda50a018f3a1ef5619ea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59CF95-CDD1-45FF-BCCB-C2B0EF096408}">
  <ds:schemaRefs>
    <ds:schemaRef ds:uri="http://schemas.microsoft.com/sharepoint/v3/contenttype/forms"/>
  </ds:schemaRefs>
</ds:datastoreItem>
</file>

<file path=customXml/itemProps2.xml><?xml version="1.0" encoding="utf-8"?>
<ds:datastoreItem xmlns:ds="http://schemas.openxmlformats.org/officeDocument/2006/customXml" ds:itemID="{0CD02246-2AE1-4C9E-A7F1-CF228DB12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CC1FF8-5142-4FEE-8452-02DCDB69626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5734</Characters>
  <Application>Microsoft Office Word</Application>
  <DocSecurity>0</DocSecurity>
  <Lines>47</Lines>
  <Paragraphs>13</Paragraphs>
  <ScaleCrop>false</ScaleCrop>
  <Company>Green Lake County</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ADJUSTMENT</dc:title>
  <dc:subject/>
  <dc:creator>Green Lake County</dc:creator>
  <cp:keywords/>
  <cp:lastModifiedBy>Markham, Lynn</cp:lastModifiedBy>
  <cp:revision>2</cp:revision>
  <cp:lastPrinted>2020-01-15T00:18:00Z</cp:lastPrinted>
  <dcterms:created xsi:type="dcterms:W3CDTF">2022-07-01T15:41:00Z</dcterms:created>
  <dcterms:modified xsi:type="dcterms:W3CDTF">2022-07-01T15:41:00Z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0x0101002C36E9AC86174642B20E835789D8A787</vt:lpwstr>
  </property>
</Properties>
</file>