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7A" w:rsidRPr="00690A37" w:rsidRDefault="00677E6D" w:rsidP="00B81D7A">
      <w:pPr>
        <w:pStyle w:val="Heading2"/>
        <w:spacing w:before="0"/>
        <w:jc w:val="center"/>
        <w:rPr>
          <w:rFonts w:ascii="Times New Roman" w:hAnsi="Times New Roman"/>
        </w:rPr>
      </w:pPr>
      <w:bookmarkStart w:id="0" w:name="_GoBack"/>
      <w:bookmarkEnd w:id="0"/>
      <w:r w:rsidRPr="00690A37">
        <w:rPr>
          <w:rFonts w:ascii="Times New Roman" w:hAnsi="Times New Roman"/>
          <w:noProof/>
        </w:rPr>
        <w:drawing>
          <wp:inline distT="0" distB="0" distL="0" distR="0" wp14:anchorId="3107A1AB" wp14:editId="0CD1EB0D">
            <wp:extent cx="930275" cy="819150"/>
            <wp:effectExtent l="0" t="0" r="3175" b="0"/>
            <wp:docPr id="1" name="Picture 1" descr="uw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ogo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819150"/>
                    </a:xfrm>
                    <a:prstGeom prst="rect">
                      <a:avLst/>
                    </a:prstGeom>
                    <a:noFill/>
                    <a:ln>
                      <a:noFill/>
                    </a:ln>
                  </pic:spPr>
                </pic:pic>
              </a:graphicData>
            </a:graphic>
          </wp:inline>
        </w:drawing>
      </w:r>
    </w:p>
    <w:p w:rsidR="00B81D7A" w:rsidRPr="00690A37" w:rsidRDefault="00B81D7A">
      <w:pPr>
        <w:pStyle w:val="Heading2"/>
        <w:spacing w:before="0"/>
        <w:rPr>
          <w:rFonts w:ascii="Times New Roman" w:hAnsi="Times New Roman"/>
        </w:rPr>
      </w:pPr>
    </w:p>
    <w:p w:rsidR="00650AC9" w:rsidRPr="00690A37" w:rsidRDefault="00650AC9">
      <w:pPr>
        <w:pStyle w:val="Heading2"/>
        <w:spacing w:before="0"/>
        <w:rPr>
          <w:rFonts w:ascii="Times New Roman" w:hAnsi="Times New Roman"/>
        </w:rPr>
      </w:pPr>
      <w:r w:rsidRPr="00690A37">
        <w:rPr>
          <w:rFonts w:ascii="Times New Roman" w:hAnsi="Times New Roman"/>
        </w:rPr>
        <w:t>20</w:t>
      </w:r>
      <w:r w:rsidR="00E774AB" w:rsidRPr="00690A37">
        <w:rPr>
          <w:rFonts w:ascii="Times New Roman" w:hAnsi="Times New Roman"/>
        </w:rPr>
        <w:t>1</w:t>
      </w:r>
      <w:r w:rsidR="000F0A5B">
        <w:rPr>
          <w:rFonts w:ascii="Times New Roman" w:hAnsi="Times New Roman"/>
        </w:rPr>
        <w:t>9</w:t>
      </w:r>
      <w:r w:rsidR="00B81D7A" w:rsidRPr="00690A37">
        <w:rPr>
          <w:rFonts w:ascii="Times New Roman" w:hAnsi="Times New Roman"/>
        </w:rPr>
        <w:t xml:space="preserve"> </w:t>
      </w:r>
      <w:r w:rsidR="00F26ED9" w:rsidRPr="00690A37">
        <w:rPr>
          <w:rFonts w:ascii="Times New Roman" w:hAnsi="Times New Roman"/>
        </w:rPr>
        <w:t>Regents</w:t>
      </w:r>
      <w:r w:rsidR="00430C8A" w:rsidRPr="00690A37">
        <w:rPr>
          <w:rFonts w:ascii="Times New Roman" w:hAnsi="Times New Roman"/>
        </w:rPr>
        <w:t>’</w:t>
      </w:r>
      <w:r w:rsidR="00F26ED9" w:rsidRPr="00690A37">
        <w:rPr>
          <w:rFonts w:ascii="Times New Roman" w:hAnsi="Times New Roman"/>
        </w:rPr>
        <w:t xml:space="preserve"> </w:t>
      </w:r>
      <w:r w:rsidR="009326F2" w:rsidRPr="00690A37">
        <w:rPr>
          <w:rFonts w:ascii="Times New Roman" w:hAnsi="Times New Roman"/>
        </w:rPr>
        <w:t>Teaching</w:t>
      </w:r>
      <w:r w:rsidRPr="00690A37">
        <w:rPr>
          <w:rFonts w:ascii="Times New Roman" w:hAnsi="Times New Roman"/>
        </w:rPr>
        <w:t xml:space="preserve"> Excellence</w:t>
      </w:r>
      <w:r w:rsidR="00F26ED9" w:rsidRPr="00690A37">
        <w:rPr>
          <w:rFonts w:ascii="Times New Roman" w:hAnsi="Times New Roman"/>
        </w:rPr>
        <w:t xml:space="preserve"> Award</w:t>
      </w:r>
      <w:r w:rsidR="00AD57D5">
        <w:rPr>
          <w:rFonts w:ascii="Times New Roman" w:hAnsi="Times New Roman"/>
        </w:rPr>
        <w:t>s</w:t>
      </w:r>
    </w:p>
    <w:p w:rsidR="00596D73" w:rsidRPr="00690A37" w:rsidRDefault="00596D73" w:rsidP="00596D73">
      <w:pPr>
        <w:pStyle w:val="Heading2"/>
        <w:rPr>
          <w:rFonts w:ascii="Times New Roman" w:hAnsi="Times New Roman"/>
          <w:color w:val="990033"/>
          <w:sz w:val="28"/>
          <w:szCs w:val="28"/>
        </w:rPr>
      </w:pPr>
      <w:r w:rsidRPr="00690A37">
        <w:rPr>
          <w:rFonts w:ascii="Times New Roman" w:hAnsi="Times New Roman"/>
          <w:color w:val="990033"/>
          <w:sz w:val="28"/>
          <w:szCs w:val="28"/>
        </w:rPr>
        <w:t>Individual Award Nomination Guidelines</w:t>
      </w:r>
    </w:p>
    <w:p w:rsidR="00DB02B7" w:rsidRPr="00690A37" w:rsidRDefault="00DB02B7" w:rsidP="00CE0428">
      <w:pPr>
        <w:tabs>
          <w:tab w:val="left" w:pos="-720"/>
        </w:tabs>
        <w:suppressAutoHyphens/>
        <w:rPr>
          <w:sz w:val="24"/>
          <w:szCs w:val="24"/>
        </w:rPr>
      </w:pPr>
    </w:p>
    <w:p w:rsidR="00CE0428" w:rsidRPr="00690A37" w:rsidRDefault="00650AC9" w:rsidP="00CE0428">
      <w:pPr>
        <w:tabs>
          <w:tab w:val="left" w:pos="-720"/>
        </w:tabs>
        <w:suppressAutoHyphens/>
        <w:rPr>
          <w:szCs w:val="22"/>
        </w:rPr>
      </w:pPr>
      <w:r w:rsidRPr="00690A37">
        <w:rPr>
          <w:szCs w:val="22"/>
        </w:rPr>
        <w:t>On behalf of the Board of Regents, the UW System Administration</w:t>
      </w:r>
      <w:r w:rsidR="00AD57D5">
        <w:rPr>
          <w:szCs w:val="22"/>
        </w:rPr>
        <w:t>’s</w:t>
      </w:r>
      <w:r w:rsidRPr="00690A37">
        <w:rPr>
          <w:szCs w:val="22"/>
        </w:rPr>
        <w:t xml:space="preserve"> Office of the Vice President for </w:t>
      </w:r>
      <w:r w:rsidR="00035730" w:rsidRPr="00690A37">
        <w:rPr>
          <w:szCs w:val="22"/>
        </w:rPr>
        <w:t xml:space="preserve">Academic </w:t>
      </w:r>
      <w:r w:rsidR="00422E73" w:rsidRPr="00690A37">
        <w:rPr>
          <w:szCs w:val="22"/>
        </w:rPr>
        <w:t xml:space="preserve">and Student </w:t>
      </w:r>
      <w:r w:rsidR="00035730" w:rsidRPr="00690A37">
        <w:rPr>
          <w:szCs w:val="22"/>
        </w:rPr>
        <w:t>Affairs</w:t>
      </w:r>
      <w:r w:rsidRPr="00690A37">
        <w:rPr>
          <w:szCs w:val="22"/>
        </w:rPr>
        <w:t xml:space="preserve"> invites </w:t>
      </w:r>
      <w:r w:rsidR="00035730" w:rsidRPr="00690A37">
        <w:rPr>
          <w:szCs w:val="22"/>
        </w:rPr>
        <w:t>each</w:t>
      </w:r>
      <w:r w:rsidRPr="00690A37">
        <w:rPr>
          <w:szCs w:val="22"/>
        </w:rPr>
        <w:t xml:space="preserve"> institution to submit one nomination for t</w:t>
      </w:r>
      <w:r w:rsidR="00450844" w:rsidRPr="00690A37">
        <w:rPr>
          <w:szCs w:val="22"/>
        </w:rPr>
        <w:t xml:space="preserve">he </w:t>
      </w:r>
      <w:r w:rsidR="00596D73" w:rsidRPr="00690A37">
        <w:rPr>
          <w:b/>
          <w:szCs w:val="22"/>
        </w:rPr>
        <w:t>20</w:t>
      </w:r>
      <w:r w:rsidR="001932B6" w:rsidRPr="00690A37">
        <w:rPr>
          <w:b/>
          <w:szCs w:val="22"/>
        </w:rPr>
        <w:t>1</w:t>
      </w:r>
      <w:r w:rsidR="000F0A5B">
        <w:rPr>
          <w:b/>
          <w:szCs w:val="22"/>
        </w:rPr>
        <w:t>9</w:t>
      </w:r>
      <w:r w:rsidR="00596D73" w:rsidRPr="00690A37">
        <w:rPr>
          <w:b/>
          <w:szCs w:val="22"/>
        </w:rPr>
        <w:t xml:space="preserve"> </w:t>
      </w:r>
      <w:r w:rsidR="00F26ED9" w:rsidRPr="00690A37">
        <w:rPr>
          <w:b/>
          <w:szCs w:val="22"/>
        </w:rPr>
        <w:t>Regents</w:t>
      </w:r>
      <w:r w:rsidR="00430C8A" w:rsidRPr="00690A37">
        <w:rPr>
          <w:b/>
          <w:szCs w:val="22"/>
        </w:rPr>
        <w:t>’</w:t>
      </w:r>
      <w:r w:rsidR="00F26ED9" w:rsidRPr="00690A37">
        <w:rPr>
          <w:b/>
          <w:szCs w:val="22"/>
        </w:rPr>
        <w:t xml:space="preserve"> </w:t>
      </w:r>
      <w:r w:rsidR="00B35D65" w:rsidRPr="00690A37">
        <w:rPr>
          <w:b/>
          <w:szCs w:val="22"/>
        </w:rPr>
        <w:t>Teaching</w:t>
      </w:r>
      <w:r w:rsidRPr="00690A37">
        <w:rPr>
          <w:b/>
          <w:szCs w:val="22"/>
        </w:rPr>
        <w:t xml:space="preserve"> Excellence</w:t>
      </w:r>
      <w:r w:rsidR="00F26ED9" w:rsidRPr="00690A37">
        <w:rPr>
          <w:b/>
          <w:szCs w:val="22"/>
        </w:rPr>
        <w:t xml:space="preserve"> Award</w:t>
      </w:r>
      <w:r w:rsidR="0029470E">
        <w:rPr>
          <w:b/>
          <w:szCs w:val="22"/>
        </w:rPr>
        <w:t>s</w:t>
      </w:r>
      <w:r w:rsidRPr="00690A37">
        <w:rPr>
          <w:szCs w:val="22"/>
        </w:rPr>
        <w:t xml:space="preserve">. </w:t>
      </w:r>
      <w:r w:rsidR="004F7672" w:rsidRPr="00690A37">
        <w:rPr>
          <w:szCs w:val="22"/>
        </w:rPr>
        <w:t xml:space="preserve"> </w:t>
      </w:r>
      <w:r w:rsidR="00CE0428" w:rsidRPr="00690A37">
        <w:rPr>
          <w:szCs w:val="22"/>
        </w:rPr>
        <w:t>By recognizing some of the finest of our dedicated faculty and academic staff, these awards reflect the University of Wisconsin’s strong commitment to teaching.</w:t>
      </w:r>
    </w:p>
    <w:p w:rsidR="00650AC9" w:rsidRPr="00690A37" w:rsidRDefault="00650AC9" w:rsidP="00DB02B7">
      <w:pPr>
        <w:tabs>
          <w:tab w:val="left" w:pos="0"/>
          <w:tab w:val="right" w:pos="9184"/>
        </w:tabs>
        <w:ind w:firstLine="720"/>
        <w:rPr>
          <w:szCs w:val="22"/>
        </w:rPr>
      </w:pPr>
    </w:p>
    <w:p w:rsidR="00650AC9" w:rsidRPr="00690A37" w:rsidRDefault="00650AC9" w:rsidP="003556FF">
      <w:pPr>
        <w:tabs>
          <w:tab w:val="left" w:pos="0"/>
          <w:tab w:val="left" w:pos="2340"/>
          <w:tab w:val="right" w:pos="9184"/>
        </w:tabs>
        <w:rPr>
          <w:szCs w:val="22"/>
        </w:rPr>
      </w:pPr>
      <w:r w:rsidRPr="00690A37">
        <w:rPr>
          <w:szCs w:val="22"/>
        </w:rPr>
        <w:t xml:space="preserve">Two $5,000 awards will be made to two </w:t>
      </w:r>
      <w:r w:rsidR="00CE0428" w:rsidRPr="00690A37">
        <w:rPr>
          <w:szCs w:val="22"/>
        </w:rPr>
        <w:t>faculty and academic</w:t>
      </w:r>
      <w:r w:rsidRPr="00690A37">
        <w:rPr>
          <w:szCs w:val="22"/>
        </w:rPr>
        <w:t xml:space="preserve"> staff members in recognition of their</w:t>
      </w:r>
      <w:r w:rsidR="00CE0428" w:rsidRPr="00690A37">
        <w:rPr>
          <w:szCs w:val="22"/>
        </w:rPr>
        <w:t xml:space="preserve"> outstanding </w:t>
      </w:r>
      <w:r w:rsidR="00CE0428" w:rsidRPr="00690A37">
        <w:rPr>
          <w:i/>
          <w:szCs w:val="22"/>
        </w:rPr>
        <w:t>career achievement</w:t>
      </w:r>
      <w:r w:rsidR="00CE0428" w:rsidRPr="00690A37">
        <w:rPr>
          <w:szCs w:val="22"/>
        </w:rPr>
        <w:t xml:space="preserve"> in teaching</w:t>
      </w:r>
      <w:r w:rsidRPr="00690A37">
        <w:rPr>
          <w:szCs w:val="22"/>
        </w:rPr>
        <w:t xml:space="preserve">. </w:t>
      </w:r>
      <w:r w:rsidR="004F7672" w:rsidRPr="00690A37">
        <w:rPr>
          <w:szCs w:val="22"/>
        </w:rPr>
        <w:t xml:space="preserve"> </w:t>
      </w:r>
      <w:r w:rsidR="00A90050" w:rsidRPr="00690A37">
        <w:rPr>
          <w:b/>
          <w:szCs w:val="22"/>
        </w:rPr>
        <w:t>Please note</w:t>
      </w:r>
      <w:r w:rsidR="00EA6C47" w:rsidRPr="00690A37">
        <w:rPr>
          <w:b/>
          <w:szCs w:val="22"/>
        </w:rPr>
        <w:t>:</w:t>
      </w:r>
      <w:r w:rsidR="00A90050" w:rsidRPr="00690A37">
        <w:rPr>
          <w:szCs w:val="22"/>
        </w:rPr>
        <w:t xml:space="preserve"> </w:t>
      </w:r>
      <w:r w:rsidR="00EA6C47" w:rsidRPr="00690A37">
        <w:rPr>
          <w:szCs w:val="22"/>
        </w:rPr>
        <w:t xml:space="preserve"> T</w:t>
      </w:r>
      <w:r w:rsidR="00A90050" w:rsidRPr="00690A37">
        <w:rPr>
          <w:szCs w:val="22"/>
        </w:rPr>
        <w:t xml:space="preserve">he individual Teaching Excellence Award payments are processed through payroll and, as such, are subject to applicable employee payroll withholding provisions.  </w:t>
      </w:r>
      <w:r w:rsidRPr="00690A37">
        <w:rPr>
          <w:szCs w:val="22"/>
        </w:rPr>
        <w:t xml:space="preserve">The recipients </w:t>
      </w:r>
      <w:r w:rsidR="00430C8A" w:rsidRPr="00690A37">
        <w:rPr>
          <w:szCs w:val="22"/>
        </w:rPr>
        <w:t xml:space="preserve">are expected to </w:t>
      </w:r>
      <w:r w:rsidRPr="00690A37">
        <w:rPr>
          <w:szCs w:val="22"/>
        </w:rPr>
        <w:t xml:space="preserve">be honored at </w:t>
      </w:r>
      <w:r w:rsidR="00430C8A" w:rsidRPr="00690A37">
        <w:rPr>
          <w:szCs w:val="22"/>
        </w:rPr>
        <w:t>the</w:t>
      </w:r>
      <w:r w:rsidR="003A7432" w:rsidRPr="00690A37">
        <w:rPr>
          <w:szCs w:val="22"/>
        </w:rPr>
        <w:t xml:space="preserve"> </w:t>
      </w:r>
      <w:r w:rsidR="000F0A5B">
        <w:rPr>
          <w:b/>
          <w:szCs w:val="22"/>
        </w:rPr>
        <w:t>April 5, 2019</w:t>
      </w:r>
      <w:r w:rsidR="009C7F09" w:rsidRPr="009C7F09">
        <w:rPr>
          <w:b/>
          <w:szCs w:val="22"/>
        </w:rPr>
        <w:t xml:space="preserve"> </w:t>
      </w:r>
      <w:r w:rsidR="00A46F49" w:rsidRPr="009C7F09">
        <w:rPr>
          <w:b/>
          <w:szCs w:val="22"/>
        </w:rPr>
        <w:t>Board of Regents</w:t>
      </w:r>
      <w:r w:rsidR="00A46F49" w:rsidRPr="00690A37">
        <w:rPr>
          <w:szCs w:val="22"/>
        </w:rPr>
        <w:t xml:space="preserve"> meeting</w:t>
      </w:r>
      <w:r w:rsidR="003556FF">
        <w:rPr>
          <w:szCs w:val="22"/>
        </w:rPr>
        <w:t xml:space="preserve"> at </w:t>
      </w:r>
      <w:r w:rsidR="003556FF" w:rsidRPr="009C7F09">
        <w:rPr>
          <w:b/>
          <w:szCs w:val="22"/>
        </w:rPr>
        <w:t>UW-</w:t>
      </w:r>
      <w:r w:rsidR="000F0A5B">
        <w:rPr>
          <w:b/>
          <w:szCs w:val="22"/>
        </w:rPr>
        <w:t>Whitewater</w:t>
      </w:r>
      <w:r w:rsidR="009C7F09">
        <w:rPr>
          <w:szCs w:val="22"/>
        </w:rPr>
        <w:t>.</w:t>
      </w:r>
    </w:p>
    <w:p w:rsidR="00650AC9" w:rsidRPr="00690A37" w:rsidRDefault="00650AC9">
      <w:pPr>
        <w:tabs>
          <w:tab w:val="left" w:pos="0"/>
          <w:tab w:val="right" w:pos="9184"/>
        </w:tabs>
        <w:rPr>
          <w:szCs w:val="22"/>
        </w:rPr>
      </w:pPr>
    </w:p>
    <w:p w:rsidR="00650AC9" w:rsidRPr="00690A37" w:rsidRDefault="00650AC9">
      <w:pPr>
        <w:pStyle w:val="Heading3"/>
        <w:rPr>
          <w:rFonts w:ascii="Times New Roman" w:hAnsi="Times New Roman"/>
          <w:szCs w:val="22"/>
        </w:rPr>
      </w:pPr>
      <w:r w:rsidRPr="00690A37">
        <w:rPr>
          <w:rFonts w:ascii="Times New Roman" w:hAnsi="Times New Roman"/>
          <w:szCs w:val="22"/>
        </w:rPr>
        <w:t xml:space="preserve">Nomination Deadline: </w:t>
      </w:r>
      <w:r w:rsidR="00596D73" w:rsidRPr="00690A37">
        <w:rPr>
          <w:rFonts w:ascii="Times New Roman" w:hAnsi="Times New Roman"/>
          <w:szCs w:val="22"/>
        </w:rPr>
        <w:t xml:space="preserve"> </w:t>
      </w:r>
      <w:r w:rsidR="000F0A5B">
        <w:rPr>
          <w:rFonts w:ascii="Times New Roman" w:hAnsi="Times New Roman"/>
          <w:szCs w:val="22"/>
        </w:rPr>
        <w:t>January18</w:t>
      </w:r>
      <w:r w:rsidR="009C4E45">
        <w:rPr>
          <w:rFonts w:ascii="Times New Roman" w:hAnsi="Times New Roman"/>
          <w:szCs w:val="22"/>
        </w:rPr>
        <w:t>,</w:t>
      </w:r>
      <w:r w:rsidR="00DB02B7" w:rsidRPr="00690A37">
        <w:rPr>
          <w:rFonts w:ascii="Times New Roman" w:hAnsi="Times New Roman"/>
          <w:szCs w:val="22"/>
        </w:rPr>
        <w:t xml:space="preserve"> 201</w:t>
      </w:r>
      <w:r w:rsidR="000F0A5B">
        <w:rPr>
          <w:rFonts w:ascii="Times New Roman" w:hAnsi="Times New Roman"/>
          <w:szCs w:val="22"/>
        </w:rPr>
        <w:t>9</w:t>
      </w:r>
    </w:p>
    <w:p w:rsidR="00650AC9" w:rsidRPr="00690A37" w:rsidRDefault="00650AC9">
      <w:pPr>
        <w:rPr>
          <w:szCs w:val="22"/>
        </w:rPr>
      </w:pPr>
      <w:r w:rsidRPr="00690A37">
        <w:rPr>
          <w:szCs w:val="22"/>
        </w:rPr>
        <w:t>A complete set of nomination materials s</w:t>
      </w:r>
      <w:r w:rsidR="00450844" w:rsidRPr="00690A37">
        <w:rPr>
          <w:szCs w:val="22"/>
        </w:rPr>
        <w:t xml:space="preserve">hould be submitted </w:t>
      </w:r>
      <w:r w:rsidR="00A46F49" w:rsidRPr="00690A37">
        <w:rPr>
          <w:szCs w:val="22"/>
        </w:rPr>
        <w:t xml:space="preserve">electronically </w:t>
      </w:r>
      <w:r w:rsidR="00603E7F" w:rsidRPr="00690A37">
        <w:rPr>
          <w:szCs w:val="22"/>
        </w:rPr>
        <w:t xml:space="preserve">as one PDF document </w:t>
      </w:r>
      <w:r w:rsidR="00A46F49" w:rsidRPr="00690A37">
        <w:rPr>
          <w:szCs w:val="22"/>
        </w:rPr>
        <w:t xml:space="preserve">to </w:t>
      </w:r>
      <w:hyperlink r:id="rId9" w:history="1">
        <w:r w:rsidR="000F0A5B" w:rsidRPr="0054720C">
          <w:rPr>
            <w:rStyle w:val="Hyperlink"/>
            <w:szCs w:val="22"/>
          </w:rPr>
          <w:t>apei@uwsa.edu</w:t>
        </w:r>
      </w:hyperlink>
      <w:r w:rsidR="004E17F4" w:rsidRPr="00690A37">
        <w:rPr>
          <w:szCs w:val="22"/>
        </w:rPr>
        <w:t xml:space="preserve"> </w:t>
      </w:r>
      <w:r w:rsidR="00E4345E" w:rsidRPr="00690A37">
        <w:rPr>
          <w:szCs w:val="22"/>
        </w:rPr>
        <w:t xml:space="preserve">no later than </w:t>
      </w:r>
      <w:r w:rsidR="000F0A5B">
        <w:rPr>
          <w:b/>
          <w:szCs w:val="22"/>
        </w:rPr>
        <w:t>January 18</w:t>
      </w:r>
      <w:r w:rsidR="00DB02B7" w:rsidRPr="00690A37">
        <w:rPr>
          <w:b/>
          <w:szCs w:val="22"/>
        </w:rPr>
        <w:t>, 201</w:t>
      </w:r>
      <w:r w:rsidR="000F0A5B">
        <w:rPr>
          <w:b/>
          <w:szCs w:val="22"/>
        </w:rPr>
        <w:t>9</w:t>
      </w:r>
      <w:r w:rsidRPr="00690A37">
        <w:rPr>
          <w:szCs w:val="22"/>
        </w:rPr>
        <w:t xml:space="preserve">. </w:t>
      </w:r>
      <w:r w:rsidR="00A46F49" w:rsidRPr="00690A37">
        <w:rPr>
          <w:szCs w:val="22"/>
        </w:rPr>
        <w:t xml:space="preserve"> Check with your campus administration office for institutional deadlines that precede the posted UW System due date.  Please refer all questions to </w:t>
      </w:r>
      <w:r w:rsidR="00210C48" w:rsidRPr="00690A37">
        <w:rPr>
          <w:szCs w:val="22"/>
        </w:rPr>
        <w:t xml:space="preserve">Sal Carranza, </w:t>
      </w:r>
      <w:r w:rsidR="00E4345E" w:rsidRPr="00690A37">
        <w:rPr>
          <w:szCs w:val="22"/>
        </w:rPr>
        <w:t xml:space="preserve">Senior </w:t>
      </w:r>
      <w:r w:rsidR="000F0A5B">
        <w:rPr>
          <w:szCs w:val="22"/>
        </w:rPr>
        <w:t>Policy Advisor</w:t>
      </w:r>
      <w:r w:rsidR="00210C48" w:rsidRPr="00690A37">
        <w:rPr>
          <w:szCs w:val="22"/>
        </w:rPr>
        <w:t xml:space="preserve">, (608) 265-9177 or </w:t>
      </w:r>
      <w:hyperlink r:id="rId10" w:history="1">
        <w:r w:rsidR="00A34579" w:rsidRPr="00690A37">
          <w:rPr>
            <w:rStyle w:val="Hyperlink"/>
            <w:szCs w:val="22"/>
          </w:rPr>
          <w:t>scarranza@uwsa.edu</w:t>
        </w:r>
      </w:hyperlink>
      <w:r w:rsidRPr="00690A37">
        <w:rPr>
          <w:szCs w:val="22"/>
        </w:rPr>
        <w:t>.</w:t>
      </w:r>
    </w:p>
    <w:p w:rsidR="00650AC9" w:rsidRPr="00690A37" w:rsidRDefault="00650AC9">
      <w:pPr>
        <w:rPr>
          <w:szCs w:val="22"/>
        </w:rPr>
      </w:pPr>
    </w:p>
    <w:p w:rsidR="00650AC9" w:rsidRPr="00690A37" w:rsidRDefault="00650AC9">
      <w:pPr>
        <w:pStyle w:val="Heading3"/>
        <w:rPr>
          <w:rFonts w:ascii="Times New Roman" w:hAnsi="Times New Roman"/>
          <w:szCs w:val="22"/>
        </w:rPr>
      </w:pPr>
      <w:r w:rsidRPr="00690A37">
        <w:rPr>
          <w:rFonts w:ascii="Times New Roman" w:hAnsi="Times New Roman"/>
          <w:szCs w:val="22"/>
        </w:rPr>
        <w:t>Selection Committee</w:t>
      </w:r>
    </w:p>
    <w:p w:rsidR="00650AC9" w:rsidRPr="00690A37" w:rsidRDefault="00915CE9">
      <w:pPr>
        <w:rPr>
          <w:szCs w:val="22"/>
        </w:rPr>
      </w:pPr>
      <w:r w:rsidRPr="00690A37">
        <w:rPr>
          <w:szCs w:val="22"/>
        </w:rPr>
        <w:t xml:space="preserve">The </w:t>
      </w:r>
      <w:r w:rsidR="00650AC9" w:rsidRPr="00690A37">
        <w:rPr>
          <w:szCs w:val="22"/>
        </w:rPr>
        <w:t>Regent</w:t>
      </w:r>
      <w:r w:rsidR="00430C8A" w:rsidRPr="00690A37">
        <w:rPr>
          <w:szCs w:val="22"/>
        </w:rPr>
        <w:t>s</w:t>
      </w:r>
      <w:r w:rsidRPr="00690A37">
        <w:rPr>
          <w:szCs w:val="22"/>
        </w:rPr>
        <w:t xml:space="preserve"> Teaching Excellence Award</w:t>
      </w:r>
      <w:r w:rsidR="00AD57D5">
        <w:rPr>
          <w:szCs w:val="22"/>
        </w:rPr>
        <w:t>s</w:t>
      </w:r>
      <w:r w:rsidR="00720A0C" w:rsidRPr="00690A37">
        <w:rPr>
          <w:szCs w:val="22"/>
        </w:rPr>
        <w:t xml:space="preserve"> </w:t>
      </w:r>
      <w:r w:rsidR="00650AC9" w:rsidRPr="00690A37">
        <w:rPr>
          <w:szCs w:val="22"/>
        </w:rPr>
        <w:t>Committee will select the recipients.</w:t>
      </w:r>
    </w:p>
    <w:p w:rsidR="00650AC9" w:rsidRPr="00690A37" w:rsidRDefault="00650AC9">
      <w:pPr>
        <w:rPr>
          <w:szCs w:val="22"/>
        </w:rPr>
      </w:pPr>
    </w:p>
    <w:p w:rsidR="00650AC9" w:rsidRPr="00690A37" w:rsidRDefault="00650AC9">
      <w:pPr>
        <w:pStyle w:val="Heading3"/>
        <w:rPr>
          <w:rFonts w:ascii="Times New Roman" w:hAnsi="Times New Roman"/>
          <w:szCs w:val="22"/>
        </w:rPr>
      </w:pPr>
      <w:r w:rsidRPr="00690A37">
        <w:rPr>
          <w:rFonts w:ascii="Times New Roman" w:hAnsi="Times New Roman"/>
          <w:szCs w:val="22"/>
        </w:rPr>
        <w:t xml:space="preserve">Eligibility </w:t>
      </w:r>
    </w:p>
    <w:p w:rsidR="00650AC9" w:rsidRPr="00690A37" w:rsidRDefault="00FA7539" w:rsidP="00FA7539">
      <w:pPr>
        <w:tabs>
          <w:tab w:val="left" w:pos="0"/>
          <w:tab w:val="right" w:pos="9184"/>
        </w:tabs>
        <w:rPr>
          <w:szCs w:val="22"/>
        </w:rPr>
      </w:pPr>
      <w:r w:rsidRPr="00690A37">
        <w:rPr>
          <w:szCs w:val="22"/>
        </w:rPr>
        <w:t>Current members of the teaching faculty and teaching academic staff at UW System institutions are eligible</w:t>
      </w:r>
      <w:r w:rsidR="00B35D65" w:rsidRPr="00690A37">
        <w:rPr>
          <w:szCs w:val="22"/>
        </w:rPr>
        <w:t xml:space="preserve"> for the award</w:t>
      </w:r>
      <w:r w:rsidRPr="00690A37">
        <w:rPr>
          <w:szCs w:val="22"/>
        </w:rPr>
        <w:t>.</w:t>
      </w:r>
    </w:p>
    <w:p w:rsidR="00FA7539" w:rsidRPr="00690A37" w:rsidRDefault="00FA7539" w:rsidP="00FA7539">
      <w:pPr>
        <w:pStyle w:val="Heading3"/>
        <w:spacing w:before="0" w:after="0"/>
        <w:rPr>
          <w:rFonts w:ascii="Times New Roman" w:hAnsi="Times New Roman"/>
          <w:szCs w:val="22"/>
        </w:rPr>
      </w:pPr>
    </w:p>
    <w:p w:rsidR="00650AC9" w:rsidRPr="00690A37" w:rsidRDefault="00650AC9">
      <w:pPr>
        <w:pStyle w:val="Heading3"/>
        <w:rPr>
          <w:rFonts w:ascii="Times New Roman" w:hAnsi="Times New Roman"/>
          <w:szCs w:val="22"/>
        </w:rPr>
      </w:pPr>
      <w:r w:rsidRPr="00690A37">
        <w:rPr>
          <w:rFonts w:ascii="Times New Roman" w:hAnsi="Times New Roman"/>
          <w:szCs w:val="22"/>
        </w:rPr>
        <w:t>Criteria</w:t>
      </w:r>
    </w:p>
    <w:p w:rsidR="00650AC9" w:rsidRPr="00690A37" w:rsidRDefault="00650AC9">
      <w:pPr>
        <w:tabs>
          <w:tab w:val="left" w:pos="0"/>
          <w:tab w:val="right" w:pos="7707"/>
        </w:tabs>
        <w:rPr>
          <w:szCs w:val="22"/>
        </w:rPr>
      </w:pPr>
      <w:r w:rsidRPr="00690A37">
        <w:rPr>
          <w:szCs w:val="22"/>
        </w:rPr>
        <w:t xml:space="preserve">Nomination materials should address the following criteria, </w:t>
      </w:r>
      <w:r w:rsidR="00170181">
        <w:rPr>
          <w:szCs w:val="22"/>
        </w:rPr>
        <w:t>because</w:t>
      </w:r>
      <w:r w:rsidRPr="00690A37">
        <w:rPr>
          <w:szCs w:val="22"/>
        </w:rPr>
        <w:t xml:space="preserve"> they will be considered by the Regent</w:t>
      </w:r>
      <w:r w:rsidR="00720A0C" w:rsidRPr="00690A37">
        <w:rPr>
          <w:szCs w:val="22"/>
        </w:rPr>
        <w:t>s</w:t>
      </w:r>
      <w:r w:rsidRPr="00690A37">
        <w:rPr>
          <w:szCs w:val="22"/>
        </w:rPr>
        <w:t xml:space="preserve"> Committee in the review of all nominations.</w:t>
      </w:r>
      <w:r w:rsidR="004F7672" w:rsidRPr="00690A37">
        <w:rPr>
          <w:szCs w:val="22"/>
        </w:rPr>
        <w:t xml:space="preserve"> </w:t>
      </w:r>
      <w:r w:rsidRPr="00690A37">
        <w:rPr>
          <w:szCs w:val="22"/>
        </w:rPr>
        <w:t xml:space="preserve"> </w:t>
      </w:r>
    </w:p>
    <w:p w:rsidR="00FA7539" w:rsidRPr="00690A37" w:rsidRDefault="00FA7539">
      <w:pPr>
        <w:tabs>
          <w:tab w:val="left" w:pos="0"/>
          <w:tab w:val="right" w:pos="7707"/>
        </w:tabs>
        <w:rPr>
          <w:szCs w:val="22"/>
        </w:rPr>
      </w:pPr>
    </w:p>
    <w:p w:rsidR="00FA7539" w:rsidRPr="00690A37" w:rsidRDefault="00FA7539" w:rsidP="00FA7539">
      <w:pPr>
        <w:numPr>
          <w:ilvl w:val="0"/>
          <w:numId w:val="24"/>
        </w:numPr>
        <w:tabs>
          <w:tab w:val="left" w:pos="-720"/>
        </w:tabs>
        <w:suppressAutoHyphens/>
        <w:overflowPunct w:val="0"/>
        <w:autoSpaceDE w:val="0"/>
        <w:autoSpaceDN w:val="0"/>
        <w:adjustRightInd w:val="0"/>
        <w:textAlignment w:val="baseline"/>
        <w:rPr>
          <w:szCs w:val="22"/>
        </w:rPr>
      </w:pPr>
      <w:r w:rsidRPr="00690A37">
        <w:rPr>
          <w:szCs w:val="22"/>
        </w:rPr>
        <w:t>Excel at teaching and deeply value learning.  This commitment to excellence might be demonstrated through activities that advance the quality and practice of teaching, learning, and advising in the individual classroom, in the department, across the curriculum or discipline, or college- and institution-wide;</w:t>
      </w:r>
    </w:p>
    <w:p w:rsidR="00FA7539" w:rsidRPr="00690A37" w:rsidRDefault="00FA7539" w:rsidP="00FA7539">
      <w:pPr>
        <w:tabs>
          <w:tab w:val="left" w:pos="-720"/>
        </w:tabs>
        <w:suppressAutoHyphens/>
        <w:ind w:left="720" w:hanging="720"/>
        <w:rPr>
          <w:szCs w:val="22"/>
        </w:rPr>
      </w:pPr>
    </w:p>
    <w:p w:rsidR="00FA7539" w:rsidRPr="00690A37" w:rsidRDefault="00FA7539" w:rsidP="00FA7539">
      <w:pPr>
        <w:numPr>
          <w:ilvl w:val="0"/>
          <w:numId w:val="24"/>
        </w:numPr>
        <w:tabs>
          <w:tab w:val="left" w:pos="-720"/>
        </w:tabs>
        <w:suppressAutoHyphens/>
        <w:overflowPunct w:val="0"/>
        <w:autoSpaceDE w:val="0"/>
        <w:autoSpaceDN w:val="0"/>
        <w:adjustRightInd w:val="0"/>
        <w:textAlignment w:val="baseline"/>
        <w:rPr>
          <w:szCs w:val="22"/>
        </w:rPr>
      </w:pPr>
      <w:r w:rsidRPr="00690A37">
        <w:rPr>
          <w:szCs w:val="22"/>
        </w:rPr>
        <w:lastRenderedPageBreak/>
        <w:t>Use effective pedagogy to enhance student learning, including (but by no means limited to), active learning, learning communities, student portfolios, assessment of student learning, and innovative uses of t</w:t>
      </w:r>
      <w:r w:rsidR="006D2516">
        <w:rPr>
          <w:szCs w:val="22"/>
        </w:rPr>
        <w:t>echnology in the classroom; and</w:t>
      </w:r>
    </w:p>
    <w:p w:rsidR="00FA7539" w:rsidRPr="00690A37" w:rsidRDefault="00FA7539" w:rsidP="00FA7539">
      <w:pPr>
        <w:numPr>
          <w:ilvl w:val="12"/>
          <w:numId w:val="0"/>
        </w:numPr>
        <w:tabs>
          <w:tab w:val="left" w:pos="-720"/>
        </w:tabs>
        <w:suppressAutoHyphens/>
        <w:ind w:left="720" w:hanging="720"/>
        <w:rPr>
          <w:szCs w:val="22"/>
        </w:rPr>
      </w:pPr>
    </w:p>
    <w:p w:rsidR="00FA7539" w:rsidRPr="00690A37" w:rsidRDefault="00FA7539" w:rsidP="00FA7539">
      <w:pPr>
        <w:numPr>
          <w:ilvl w:val="0"/>
          <w:numId w:val="24"/>
        </w:numPr>
        <w:tabs>
          <w:tab w:val="left" w:pos="-720"/>
        </w:tabs>
        <w:suppressAutoHyphens/>
        <w:overflowPunct w:val="0"/>
        <w:autoSpaceDE w:val="0"/>
        <w:autoSpaceDN w:val="0"/>
        <w:adjustRightInd w:val="0"/>
        <w:textAlignment w:val="baseline"/>
        <w:rPr>
          <w:szCs w:val="22"/>
        </w:rPr>
      </w:pPr>
      <w:r w:rsidRPr="00690A37">
        <w:rPr>
          <w:szCs w:val="22"/>
        </w:rPr>
        <w:t>Have a significant impact on students' intellectual development, helping students to develop, for example, critical and creative thinking skills, effective communication skills, intercultural knowledge and understanding, and individual, social and environmental responsibility.</w:t>
      </w:r>
    </w:p>
    <w:p w:rsidR="00FA7539" w:rsidRPr="00690A37" w:rsidRDefault="00FA7539" w:rsidP="00FA7539">
      <w:pPr>
        <w:tabs>
          <w:tab w:val="left" w:pos="-720"/>
        </w:tabs>
        <w:suppressAutoHyphens/>
        <w:ind w:left="720" w:hanging="720"/>
        <w:rPr>
          <w:szCs w:val="22"/>
        </w:rPr>
      </w:pPr>
    </w:p>
    <w:p w:rsidR="00FA7539" w:rsidRPr="00690A37" w:rsidRDefault="00FA7539" w:rsidP="00FA7539">
      <w:pPr>
        <w:tabs>
          <w:tab w:val="left" w:pos="-720"/>
        </w:tabs>
        <w:suppressAutoHyphens/>
        <w:rPr>
          <w:szCs w:val="22"/>
        </w:rPr>
      </w:pPr>
      <w:r w:rsidRPr="00690A37">
        <w:rPr>
          <w:szCs w:val="22"/>
        </w:rPr>
        <w:t>Please note that the individual Regents</w:t>
      </w:r>
      <w:r w:rsidR="00430C8A" w:rsidRPr="00690A37">
        <w:rPr>
          <w:szCs w:val="22"/>
        </w:rPr>
        <w:t>’</w:t>
      </w:r>
      <w:r w:rsidRPr="00690A37">
        <w:rPr>
          <w:szCs w:val="22"/>
        </w:rPr>
        <w:t xml:space="preserve"> Teaching Excellence Award is not intended as a "teacher of the year" award; rather, it recognizes long-term career development and achievements in teaching.  Nominees should ideally have been teaching for a significant period of time (perhaps 10 years) in the UW System.</w:t>
      </w:r>
    </w:p>
    <w:p w:rsidR="00650AC9" w:rsidRPr="00690A37" w:rsidRDefault="00650AC9">
      <w:pPr>
        <w:pStyle w:val="Heading3"/>
        <w:rPr>
          <w:rFonts w:ascii="Times New Roman" w:hAnsi="Times New Roman"/>
          <w:szCs w:val="22"/>
        </w:rPr>
      </w:pPr>
      <w:r w:rsidRPr="00690A37">
        <w:rPr>
          <w:rFonts w:ascii="Times New Roman" w:hAnsi="Times New Roman"/>
          <w:szCs w:val="22"/>
        </w:rPr>
        <w:t>No</w:t>
      </w:r>
      <w:r w:rsidR="00170181">
        <w:rPr>
          <w:rFonts w:ascii="Times New Roman" w:hAnsi="Times New Roman"/>
          <w:szCs w:val="22"/>
        </w:rPr>
        <w:t>m</w:t>
      </w:r>
      <w:r w:rsidRPr="00690A37">
        <w:rPr>
          <w:rFonts w:ascii="Times New Roman" w:hAnsi="Times New Roman"/>
          <w:szCs w:val="22"/>
        </w:rPr>
        <w:t>ination Materials</w:t>
      </w:r>
    </w:p>
    <w:p w:rsidR="00650AC9" w:rsidRPr="00690A37" w:rsidRDefault="00650AC9">
      <w:pPr>
        <w:tabs>
          <w:tab w:val="left" w:pos="0"/>
          <w:tab w:val="right" w:pos="6847"/>
        </w:tabs>
        <w:rPr>
          <w:szCs w:val="22"/>
        </w:rPr>
      </w:pPr>
      <w:r w:rsidRPr="00690A37">
        <w:rPr>
          <w:szCs w:val="22"/>
        </w:rPr>
        <w:t>Nomination procedures shall be determined by each individual institution.</w:t>
      </w:r>
      <w:r w:rsidR="004F7672" w:rsidRPr="00690A37">
        <w:rPr>
          <w:szCs w:val="22"/>
        </w:rPr>
        <w:t xml:space="preserve"> </w:t>
      </w:r>
      <w:r w:rsidRPr="00690A37">
        <w:rPr>
          <w:szCs w:val="22"/>
        </w:rPr>
        <w:t xml:space="preserve"> Supporting materials should include:</w:t>
      </w:r>
    </w:p>
    <w:p w:rsidR="00650AC9" w:rsidRPr="00690A37" w:rsidRDefault="00650AC9">
      <w:pPr>
        <w:tabs>
          <w:tab w:val="left" w:pos="0"/>
          <w:tab w:val="right" w:pos="255"/>
        </w:tabs>
        <w:rPr>
          <w:szCs w:val="22"/>
        </w:rPr>
      </w:pPr>
    </w:p>
    <w:p w:rsidR="00FA7539" w:rsidRPr="00690A37" w:rsidRDefault="00FA7539" w:rsidP="00FA7539">
      <w:pPr>
        <w:pStyle w:val="ListParagraph"/>
        <w:numPr>
          <w:ilvl w:val="0"/>
          <w:numId w:val="25"/>
        </w:numPr>
        <w:tabs>
          <w:tab w:val="left" w:pos="-720"/>
          <w:tab w:val="left" w:pos="0"/>
        </w:tabs>
        <w:suppressAutoHyphens/>
        <w:rPr>
          <w:szCs w:val="22"/>
        </w:rPr>
      </w:pPr>
      <w:r w:rsidRPr="00690A37">
        <w:rPr>
          <w:szCs w:val="22"/>
        </w:rPr>
        <w:t>A nomination cover sheet (attached)</w:t>
      </w:r>
      <w:r w:rsidR="00BD3061" w:rsidRPr="00690A37">
        <w:rPr>
          <w:szCs w:val="22"/>
        </w:rPr>
        <w:t>;</w:t>
      </w:r>
    </w:p>
    <w:p w:rsidR="00FA7539" w:rsidRPr="00690A37" w:rsidRDefault="00FA7539" w:rsidP="00FA7539">
      <w:pPr>
        <w:tabs>
          <w:tab w:val="left" w:pos="-720"/>
          <w:tab w:val="left" w:pos="0"/>
        </w:tabs>
        <w:suppressAutoHyphens/>
        <w:ind w:left="720" w:hanging="720"/>
        <w:rPr>
          <w:szCs w:val="22"/>
        </w:rPr>
      </w:pPr>
    </w:p>
    <w:p w:rsidR="00FA7539" w:rsidRPr="00690A37" w:rsidRDefault="00FA7539" w:rsidP="00FA7539">
      <w:pPr>
        <w:pStyle w:val="ListParagraph"/>
        <w:numPr>
          <w:ilvl w:val="0"/>
          <w:numId w:val="25"/>
        </w:numPr>
        <w:tabs>
          <w:tab w:val="left" w:pos="-720"/>
          <w:tab w:val="left" w:pos="0"/>
        </w:tabs>
        <w:suppressAutoHyphens/>
        <w:rPr>
          <w:szCs w:val="22"/>
        </w:rPr>
      </w:pPr>
      <w:r w:rsidRPr="00690A37">
        <w:rPr>
          <w:szCs w:val="22"/>
        </w:rPr>
        <w:t xml:space="preserve">A nomination letter from the Chancellor or Provost, and </w:t>
      </w:r>
      <w:r w:rsidR="003556FF">
        <w:rPr>
          <w:szCs w:val="22"/>
        </w:rPr>
        <w:t xml:space="preserve">one or </w:t>
      </w:r>
      <w:r w:rsidRPr="00690A37">
        <w:rPr>
          <w:szCs w:val="22"/>
        </w:rPr>
        <w:t>two letters of support from colleagues addressing specifically the quality and nature of the candidate's teaching.  One should be from the department chair/program administrator</w:t>
      </w:r>
      <w:r w:rsidR="00BD3061" w:rsidRPr="00690A37">
        <w:rPr>
          <w:szCs w:val="22"/>
        </w:rPr>
        <w:t>;</w:t>
      </w:r>
    </w:p>
    <w:p w:rsidR="00FA7539" w:rsidRPr="00690A37" w:rsidRDefault="00FA7539" w:rsidP="00FA7539">
      <w:pPr>
        <w:tabs>
          <w:tab w:val="left" w:pos="-720"/>
        </w:tabs>
        <w:suppressAutoHyphens/>
        <w:rPr>
          <w:szCs w:val="22"/>
        </w:rPr>
      </w:pPr>
    </w:p>
    <w:p w:rsidR="00FA7539" w:rsidRPr="00690A37" w:rsidRDefault="00FA7539" w:rsidP="00FA7539">
      <w:pPr>
        <w:pStyle w:val="ListParagraph"/>
        <w:numPr>
          <w:ilvl w:val="0"/>
          <w:numId w:val="25"/>
        </w:numPr>
        <w:tabs>
          <w:tab w:val="left" w:pos="-720"/>
          <w:tab w:val="left" w:pos="0"/>
        </w:tabs>
        <w:suppressAutoHyphens/>
        <w:rPr>
          <w:szCs w:val="22"/>
        </w:rPr>
      </w:pPr>
      <w:r w:rsidRPr="00690A37">
        <w:rPr>
          <w:szCs w:val="22"/>
        </w:rPr>
        <w:t xml:space="preserve">A </w:t>
      </w:r>
      <w:r w:rsidRPr="00690A37">
        <w:rPr>
          <w:b/>
          <w:szCs w:val="22"/>
        </w:rPr>
        <w:t>condensed</w:t>
      </w:r>
      <w:r w:rsidR="003556FF">
        <w:rPr>
          <w:szCs w:val="22"/>
        </w:rPr>
        <w:t xml:space="preserve"> (three</w:t>
      </w:r>
      <w:r w:rsidRPr="00690A37">
        <w:rPr>
          <w:szCs w:val="22"/>
        </w:rPr>
        <w:t xml:space="preserve"> pages maximum) curriculum vitae of the nominee</w:t>
      </w:r>
      <w:r w:rsidR="003366EA" w:rsidRPr="00690A37">
        <w:rPr>
          <w:szCs w:val="22"/>
        </w:rPr>
        <w:t>;</w:t>
      </w:r>
    </w:p>
    <w:p w:rsidR="00FA7539" w:rsidRPr="00690A37" w:rsidRDefault="00FA7539" w:rsidP="00FA7539">
      <w:pPr>
        <w:pStyle w:val="TOAHeading"/>
        <w:tabs>
          <w:tab w:val="clear" w:pos="9360"/>
          <w:tab w:val="left" w:pos="-720"/>
        </w:tabs>
        <w:rPr>
          <w:rFonts w:ascii="Times New Roman" w:hAnsi="Times New Roman"/>
          <w:szCs w:val="22"/>
        </w:rPr>
      </w:pPr>
    </w:p>
    <w:p w:rsidR="00FA7539" w:rsidRPr="00690A37" w:rsidRDefault="00FA7539" w:rsidP="00FA7539">
      <w:pPr>
        <w:pStyle w:val="ListParagraph"/>
        <w:numPr>
          <w:ilvl w:val="0"/>
          <w:numId w:val="25"/>
        </w:numPr>
        <w:tabs>
          <w:tab w:val="left" w:pos="-720"/>
          <w:tab w:val="left" w:pos="0"/>
        </w:tabs>
        <w:suppressAutoHyphens/>
        <w:rPr>
          <w:szCs w:val="22"/>
        </w:rPr>
      </w:pPr>
      <w:r w:rsidRPr="00690A37">
        <w:rPr>
          <w:szCs w:val="22"/>
        </w:rPr>
        <w:t xml:space="preserve">One </w:t>
      </w:r>
      <w:r w:rsidR="003556FF">
        <w:rPr>
          <w:szCs w:val="22"/>
        </w:rPr>
        <w:t>letter</w:t>
      </w:r>
      <w:r w:rsidRPr="00690A37">
        <w:rPr>
          <w:szCs w:val="22"/>
        </w:rPr>
        <w:t xml:space="preserve"> of support from past students and one letter from a student with recent or current contact with the candidate</w:t>
      </w:r>
      <w:r w:rsidR="00BD3061" w:rsidRPr="00690A37">
        <w:rPr>
          <w:szCs w:val="22"/>
        </w:rPr>
        <w:t>;</w:t>
      </w:r>
    </w:p>
    <w:p w:rsidR="00FA7539" w:rsidRPr="00690A37" w:rsidRDefault="00FA7539" w:rsidP="00FA7539">
      <w:pPr>
        <w:tabs>
          <w:tab w:val="left" w:pos="-720"/>
        </w:tabs>
        <w:suppressAutoHyphens/>
        <w:rPr>
          <w:szCs w:val="22"/>
        </w:rPr>
      </w:pPr>
    </w:p>
    <w:p w:rsidR="00FA7539" w:rsidRPr="00690A37" w:rsidRDefault="00FA7539" w:rsidP="00FA7539">
      <w:pPr>
        <w:pStyle w:val="ListParagraph"/>
        <w:numPr>
          <w:ilvl w:val="0"/>
          <w:numId w:val="25"/>
        </w:numPr>
        <w:tabs>
          <w:tab w:val="left" w:pos="-720"/>
          <w:tab w:val="left" w:pos="0"/>
        </w:tabs>
        <w:suppressAutoHyphens/>
        <w:rPr>
          <w:szCs w:val="22"/>
        </w:rPr>
      </w:pPr>
      <w:r w:rsidRPr="00690A37">
        <w:rPr>
          <w:szCs w:val="22"/>
        </w:rPr>
        <w:t xml:space="preserve">A </w:t>
      </w:r>
      <w:r w:rsidRPr="00690A37">
        <w:rPr>
          <w:b/>
          <w:szCs w:val="22"/>
        </w:rPr>
        <w:t>one- or two-page</w:t>
      </w:r>
      <w:r w:rsidRPr="00690A37">
        <w:rPr>
          <w:szCs w:val="22"/>
        </w:rPr>
        <w:t xml:space="preserve"> reflective statement by the nominee on his or her teaching and learning philosophy, practices and objectives, and how these have evolved over time.  The statement should include how the assessment of student learning informs teaching practice</w:t>
      </w:r>
      <w:r w:rsidR="00354F5E">
        <w:rPr>
          <w:szCs w:val="22"/>
        </w:rPr>
        <w:t>; and</w:t>
      </w:r>
    </w:p>
    <w:p w:rsidR="00FA7539" w:rsidRPr="00690A37" w:rsidRDefault="00FA7539" w:rsidP="00FA7539">
      <w:pPr>
        <w:tabs>
          <w:tab w:val="left" w:pos="-720"/>
        </w:tabs>
        <w:suppressAutoHyphens/>
        <w:rPr>
          <w:szCs w:val="22"/>
        </w:rPr>
      </w:pPr>
    </w:p>
    <w:p w:rsidR="00FA7539" w:rsidRPr="00690A37" w:rsidRDefault="00FA7539" w:rsidP="00FA7539">
      <w:pPr>
        <w:pStyle w:val="ListParagraph"/>
        <w:numPr>
          <w:ilvl w:val="0"/>
          <w:numId w:val="25"/>
        </w:numPr>
        <w:tabs>
          <w:tab w:val="left" w:pos="-720"/>
          <w:tab w:val="left" w:pos="0"/>
        </w:tabs>
        <w:suppressAutoHyphens/>
        <w:rPr>
          <w:b/>
          <w:szCs w:val="22"/>
        </w:rPr>
      </w:pPr>
      <w:r w:rsidRPr="00690A37">
        <w:rPr>
          <w:szCs w:val="22"/>
        </w:rPr>
        <w:t>Evidence of the success of the candidate's teaching (</w:t>
      </w:r>
      <w:r w:rsidRPr="00690A37">
        <w:rPr>
          <w:b/>
          <w:szCs w:val="22"/>
        </w:rPr>
        <w:t>no more than ten pages</w:t>
      </w:r>
      <w:r w:rsidRPr="00690A37">
        <w:rPr>
          <w:szCs w:val="22"/>
        </w:rPr>
        <w:t>), which may include a well-organized sample set of items that document the excellence of the candidate's teaching (e.g., course syllabi, handouts, descriptions of methods for evaluating student learning, examinations, grants received for teaching/course development, online video or other visual links, a summary of student evaluations for each course taught over the past two years, a list of awards for teaching or advising, invitations to speak at teaching</w:t>
      </w:r>
      <w:r w:rsidR="00430C8A" w:rsidRPr="00690A37">
        <w:rPr>
          <w:szCs w:val="22"/>
        </w:rPr>
        <w:t>-</w:t>
      </w:r>
      <w:r w:rsidRPr="00690A37">
        <w:rPr>
          <w:szCs w:val="22"/>
        </w:rPr>
        <w:t xml:space="preserve">improvement meetings, and other relevant material. </w:t>
      </w:r>
      <w:r w:rsidR="00F905A1">
        <w:rPr>
          <w:szCs w:val="22"/>
        </w:rPr>
        <w:t xml:space="preserve"> </w:t>
      </w:r>
      <w:r w:rsidRPr="00690A37">
        <w:rPr>
          <w:b/>
          <w:szCs w:val="22"/>
        </w:rPr>
        <w:t>These items should be accompanied by a brief explanation of why they were included in the dossier</w:t>
      </w:r>
      <w:r w:rsidR="00AD57D5">
        <w:rPr>
          <w:b/>
          <w:szCs w:val="22"/>
        </w:rPr>
        <w:t>;</w:t>
      </w:r>
      <w:r w:rsidRPr="00690A37">
        <w:rPr>
          <w:b/>
          <w:szCs w:val="22"/>
        </w:rPr>
        <w:t xml:space="preserve"> i.e., how they document the excellence of the nominee’s teaching.</w:t>
      </w:r>
    </w:p>
    <w:p w:rsidR="00650AC9" w:rsidRPr="00690A37" w:rsidRDefault="00650AC9">
      <w:pPr>
        <w:tabs>
          <w:tab w:val="left" w:pos="0"/>
          <w:tab w:val="right" w:pos="8661"/>
        </w:tabs>
        <w:rPr>
          <w:szCs w:val="22"/>
        </w:rPr>
      </w:pPr>
    </w:p>
    <w:p w:rsidR="00650AC9" w:rsidRPr="00690A37" w:rsidRDefault="00650AC9">
      <w:pPr>
        <w:tabs>
          <w:tab w:val="left" w:pos="0"/>
          <w:tab w:val="right" w:pos="8945"/>
        </w:tabs>
        <w:rPr>
          <w:szCs w:val="22"/>
        </w:rPr>
      </w:pPr>
      <w:r w:rsidRPr="00690A37">
        <w:rPr>
          <w:szCs w:val="22"/>
        </w:rPr>
        <w:t xml:space="preserve">All nomination materials are </w:t>
      </w:r>
      <w:r w:rsidR="00AD57D5">
        <w:rPr>
          <w:szCs w:val="22"/>
        </w:rPr>
        <w:t xml:space="preserve">considered </w:t>
      </w:r>
      <w:r w:rsidRPr="00690A37">
        <w:rPr>
          <w:szCs w:val="22"/>
        </w:rPr>
        <w:t>confidential.</w:t>
      </w:r>
      <w:r w:rsidR="004F7672" w:rsidRPr="00690A37">
        <w:rPr>
          <w:szCs w:val="22"/>
        </w:rPr>
        <w:t xml:space="preserve"> </w:t>
      </w:r>
      <w:r w:rsidRPr="00690A37">
        <w:rPr>
          <w:szCs w:val="22"/>
        </w:rPr>
        <w:t xml:space="preserve"> </w:t>
      </w:r>
    </w:p>
    <w:p w:rsidR="00170181" w:rsidRPr="00FB2720" w:rsidRDefault="00170181" w:rsidP="00170181">
      <w:pPr>
        <w:pStyle w:val="Heading3"/>
        <w:rPr>
          <w:rFonts w:ascii="Times New Roman" w:hAnsi="Times New Roman"/>
        </w:rPr>
      </w:pPr>
      <w:r w:rsidRPr="00FB2720">
        <w:rPr>
          <w:rFonts w:ascii="Times New Roman" w:hAnsi="Times New Roman"/>
        </w:rPr>
        <w:t>The Award</w:t>
      </w:r>
    </w:p>
    <w:p w:rsidR="00170181" w:rsidRPr="00FB2720" w:rsidRDefault="00170181" w:rsidP="00170181">
      <w:pPr>
        <w:numPr>
          <w:ilvl w:val="0"/>
          <w:numId w:val="13"/>
        </w:numPr>
        <w:tabs>
          <w:tab w:val="left" w:pos="0"/>
          <w:tab w:val="right" w:pos="8945"/>
        </w:tabs>
        <w:rPr>
          <w:sz w:val="24"/>
          <w:szCs w:val="24"/>
        </w:rPr>
      </w:pPr>
      <w:r w:rsidRPr="00FB2720">
        <w:rPr>
          <w:sz w:val="24"/>
          <w:szCs w:val="24"/>
        </w:rPr>
        <w:t>A $5,000 award ;</w:t>
      </w:r>
    </w:p>
    <w:p w:rsidR="00170181" w:rsidRPr="00FB2720" w:rsidRDefault="00170181" w:rsidP="00170181">
      <w:pPr>
        <w:numPr>
          <w:ilvl w:val="0"/>
          <w:numId w:val="13"/>
        </w:numPr>
        <w:tabs>
          <w:tab w:val="left" w:pos="0"/>
          <w:tab w:val="right" w:pos="8945"/>
        </w:tabs>
        <w:rPr>
          <w:sz w:val="24"/>
          <w:szCs w:val="24"/>
        </w:rPr>
      </w:pPr>
      <w:r w:rsidRPr="00FB2720">
        <w:rPr>
          <w:sz w:val="24"/>
          <w:szCs w:val="24"/>
        </w:rPr>
        <w:t xml:space="preserve">Public recognition at the </w:t>
      </w:r>
      <w:r w:rsidR="000F0A5B" w:rsidRPr="000F0A5B">
        <w:rPr>
          <w:b/>
          <w:sz w:val="24"/>
          <w:szCs w:val="24"/>
        </w:rPr>
        <w:t>April</w:t>
      </w:r>
      <w:r w:rsidR="009C4E45" w:rsidRPr="000F0A5B">
        <w:rPr>
          <w:b/>
          <w:sz w:val="24"/>
          <w:szCs w:val="24"/>
        </w:rPr>
        <w:t xml:space="preserve"> </w:t>
      </w:r>
      <w:r w:rsidR="000F0A5B" w:rsidRPr="000F0A5B">
        <w:rPr>
          <w:b/>
          <w:sz w:val="24"/>
          <w:szCs w:val="24"/>
        </w:rPr>
        <w:t>5</w:t>
      </w:r>
      <w:r w:rsidR="009C4E45" w:rsidRPr="000F0A5B">
        <w:rPr>
          <w:b/>
          <w:sz w:val="24"/>
          <w:szCs w:val="24"/>
        </w:rPr>
        <w:t>,</w:t>
      </w:r>
      <w:r w:rsidR="00FD74D0" w:rsidRPr="00FD74D0">
        <w:rPr>
          <w:b/>
          <w:sz w:val="24"/>
          <w:szCs w:val="24"/>
        </w:rPr>
        <w:t xml:space="preserve"> </w:t>
      </w:r>
      <w:r w:rsidR="000F0A5B">
        <w:rPr>
          <w:b/>
          <w:sz w:val="24"/>
          <w:szCs w:val="24"/>
        </w:rPr>
        <w:t>2019</w:t>
      </w:r>
      <w:r w:rsidRPr="00FC3D9A">
        <w:rPr>
          <w:b/>
          <w:sz w:val="24"/>
          <w:szCs w:val="24"/>
        </w:rPr>
        <w:t xml:space="preserve"> UW </w:t>
      </w:r>
      <w:r w:rsidR="00AD57D5">
        <w:rPr>
          <w:b/>
          <w:sz w:val="24"/>
          <w:szCs w:val="24"/>
        </w:rPr>
        <w:t xml:space="preserve">System </w:t>
      </w:r>
      <w:r w:rsidRPr="00FC3D9A">
        <w:rPr>
          <w:b/>
          <w:sz w:val="24"/>
          <w:szCs w:val="24"/>
        </w:rPr>
        <w:t>Board of Regents</w:t>
      </w:r>
      <w:r w:rsidRPr="00FB2720">
        <w:rPr>
          <w:sz w:val="24"/>
          <w:szCs w:val="24"/>
        </w:rPr>
        <w:t xml:space="preserve"> meeting </w:t>
      </w:r>
      <w:r>
        <w:rPr>
          <w:sz w:val="24"/>
          <w:szCs w:val="24"/>
        </w:rPr>
        <w:t xml:space="preserve">at </w:t>
      </w:r>
      <w:r w:rsidR="005A01FC">
        <w:rPr>
          <w:sz w:val="24"/>
          <w:szCs w:val="24"/>
        </w:rPr>
        <w:br/>
      </w:r>
      <w:r w:rsidRPr="00FC3D9A">
        <w:rPr>
          <w:b/>
          <w:sz w:val="24"/>
          <w:szCs w:val="24"/>
        </w:rPr>
        <w:t>UW-</w:t>
      </w:r>
      <w:r w:rsidR="000F0A5B">
        <w:rPr>
          <w:b/>
          <w:sz w:val="24"/>
          <w:szCs w:val="24"/>
        </w:rPr>
        <w:t>Whitewater</w:t>
      </w:r>
      <w:r w:rsidR="0029470E">
        <w:rPr>
          <w:sz w:val="24"/>
          <w:szCs w:val="24"/>
        </w:rPr>
        <w:t xml:space="preserve">; </w:t>
      </w:r>
      <w:r>
        <w:rPr>
          <w:sz w:val="24"/>
          <w:szCs w:val="24"/>
        </w:rPr>
        <w:t>and</w:t>
      </w:r>
    </w:p>
    <w:p w:rsidR="00170181" w:rsidRPr="00FB2720" w:rsidRDefault="00170181" w:rsidP="00170181">
      <w:pPr>
        <w:numPr>
          <w:ilvl w:val="0"/>
          <w:numId w:val="13"/>
        </w:numPr>
        <w:tabs>
          <w:tab w:val="left" w:pos="0"/>
          <w:tab w:val="right" w:pos="8945"/>
        </w:tabs>
        <w:rPr>
          <w:sz w:val="24"/>
          <w:szCs w:val="24"/>
        </w:rPr>
      </w:pPr>
      <w:r w:rsidRPr="00FB2720">
        <w:rPr>
          <w:sz w:val="24"/>
          <w:szCs w:val="24"/>
        </w:rPr>
        <w:t>News releases sent to state and local media</w:t>
      </w:r>
      <w:r w:rsidR="00CF26D5">
        <w:rPr>
          <w:sz w:val="24"/>
          <w:szCs w:val="24"/>
        </w:rPr>
        <w:t>,</w:t>
      </w:r>
      <w:r w:rsidRPr="00FB2720">
        <w:rPr>
          <w:sz w:val="24"/>
          <w:szCs w:val="24"/>
        </w:rPr>
        <w:t xml:space="preserve"> and to the recipient’s hometown upon the recipient’s consent.</w:t>
      </w:r>
    </w:p>
    <w:p w:rsidR="00422E73" w:rsidRPr="00690A37" w:rsidRDefault="00422E73" w:rsidP="00170181">
      <w:pPr>
        <w:rPr>
          <w:b/>
          <w:bCs/>
          <w:sz w:val="32"/>
          <w:szCs w:val="32"/>
        </w:rPr>
      </w:pPr>
      <w:r w:rsidRPr="00690A37">
        <w:rPr>
          <w:sz w:val="24"/>
          <w:szCs w:val="24"/>
        </w:rPr>
        <w:br w:type="page"/>
      </w:r>
      <w:r w:rsidR="00214B51" w:rsidRPr="00690A37">
        <w:rPr>
          <w:b/>
          <w:bCs/>
          <w:sz w:val="32"/>
          <w:szCs w:val="32"/>
        </w:rPr>
        <w:lastRenderedPageBreak/>
        <w:t>201</w:t>
      </w:r>
      <w:r w:rsidR="000F0A5B">
        <w:rPr>
          <w:b/>
          <w:bCs/>
          <w:sz w:val="32"/>
          <w:szCs w:val="32"/>
        </w:rPr>
        <w:t>9</w:t>
      </w:r>
      <w:r w:rsidRPr="00690A37">
        <w:rPr>
          <w:b/>
          <w:bCs/>
          <w:sz w:val="32"/>
          <w:szCs w:val="32"/>
        </w:rPr>
        <w:t xml:space="preserve"> </w:t>
      </w:r>
      <w:r w:rsidR="00247C3A" w:rsidRPr="00690A37">
        <w:rPr>
          <w:b/>
          <w:bCs/>
          <w:sz w:val="32"/>
          <w:szCs w:val="32"/>
        </w:rPr>
        <w:t>Regents</w:t>
      </w:r>
      <w:r w:rsidR="00EA6C47" w:rsidRPr="00690A37">
        <w:rPr>
          <w:b/>
          <w:bCs/>
          <w:sz w:val="32"/>
          <w:szCs w:val="32"/>
        </w:rPr>
        <w:t>’</w:t>
      </w:r>
      <w:r w:rsidR="00247C3A" w:rsidRPr="00690A37">
        <w:rPr>
          <w:b/>
          <w:bCs/>
          <w:sz w:val="32"/>
          <w:szCs w:val="32"/>
        </w:rPr>
        <w:t xml:space="preserve"> </w:t>
      </w:r>
      <w:r w:rsidR="00F17224" w:rsidRPr="00690A37">
        <w:rPr>
          <w:b/>
          <w:bCs/>
          <w:sz w:val="32"/>
          <w:szCs w:val="32"/>
        </w:rPr>
        <w:t>Teaching</w:t>
      </w:r>
      <w:r w:rsidRPr="00690A37">
        <w:rPr>
          <w:b/>
          <w:bCs/>
          <w:sz w:val="32"/>
          <w:szCs w:val="32"/>
        </w:rPr>
        <w:t xml:space="preserve"> Excellence </w:t>
      </w:r>
      <w:r w:rsidR="00247C3A" w:rsidRPr="00690A37">
        <w:rPr>
          <w:b/>
          <w:bCs/>
          <w:sz w:val="32"/>
          <w:szCs w:val="32"/>
        </w:rPr>
        <w:t>Award</w:t>
      </w:r>
      <w:r w:rsidR="00AD57D5">
        <w:rPr>
          <w:b/>
          <w:bCs/>
          <w:sz w:val="32"/>
          <w:szCs w:val="32"/>
        </w:rPr>
        <w:t>s</w:t>
      </w:r>
    </w:p>
    <w:p w:rsidR="00596D73" w:rsidRPr="00690A37" w:rsidRDefault="00596D73" w:rsidP="00422E73">
      <w:pPr>
        <w:tabs>
          <w:tab w:val="left" w:pos="0"/>
          <w:tab w:val="right" w:pos="8945"/>
        </w:tabs>
        <w:spacing w:after="120"/>
        <w:rPr>
          <w:b/>
          <w:color w:val="990033"/>
          <w:sz w:val="28"/>
          <w:szCs w:val="28"/>
        </w:rPr>
      </w:pPr>
      <w:r w:rsidRPr="00690A37">
        <w:rPr>
          <w:b/>
          <w:color w:val="990033"/>
          <w:sz w:val="28"/>
          <w:szCs w:val="28"/>
        </w:rPr>
        <w:t>Program Award Nomination Guidelines</w:t>
      </w:r>
    </w:p>
    <w:p w:rsidR="00596D73" w:rsidRPr="00690A37" w:rsidRDefault="00596D73" w:rsidP="00596D73"/>
    <w:p w:rsidR="00F17224" w:rsidRPr="00690A37" w:rsidRDefault="00247C3A" w:rsidP="00CC33E7">
      <w:pPr>
        <w:rPr>
          <w:sz w:val="24"/>
          <w:szCs w:val="24"/>
        </w:rPr>
      </w:pPr>
      <w:r w:rsidRPr="00690A37">
        <w:rPr>
          <w:sz w:val="24"/>
          <w:szCs w:val="24"/>
        </w:rPr>
        <w:t xml:space="preserve">On behalf of the Board of Regents, the UW System Administration's Office of the Vice President for Academic </w:t>
      </w:r>
      <w:r w:rsidR="00422E73" w:rsidRPr="00690A37">
        <w:rPr>
          <w:sz w:val="24"/>
          <w:szCs w:val="24"/>
        </w:rPr>
        <w:t xml:space="preserve">and Student </w:t>
      </w:r>
      <w:r w:rsidRPr="00690A37">
        <w:rPr>
          <w:sz w:val="24"/>
          <w:szCs w:val="24"/>
        </w:rPr>
        <w:t xml:space="preserve">Affairs invites each institution to submit one nomination for the </w:t>
      </w:r>
      <w:r w:rsidR="00214B51" w:rsidRPr="00690A37">
        <w:rPr>
          <w:b/>
          <w:sz w:val="24"/>
          <w:szCs w:val="24"/>
        </w:rPr>
        <w:t>201</w:t>
      </w:r>
      <w:r w:rsidR="000F0A5B">
        <w:rPr>
          <w:b/>
          <w:sz w:val="24"/>
          <w:szCs w:val="24"/>
        </w:rPr>
        <w:t>9</w:t>
      </w:r>
      <w:r w:rsidRPr="00690A37">
        <w:rPr>
          <w:b/>
          <w:sz w:val="24"/>
          <w:szCs w:val="24"/>
        </w:rPr>
        <w:t xml:space="preserve"> </w:t>
      </w:r>
      <w:r w:rsidR="00422E73" w:rsidRPr="00690A37">
        <w:rPr>
          <w:b/>
          <w:sz w:val="24"/>
          <w:szCs w:val="24"/>
        </w:rPr>
        <w:t>Regents</w:t>
      </w:r>
      <w:r w:rsidR="00EA6C47" w:rsidRPr="00690A37">
        <w:rPr>
          <w:b/>
          <w:sz w:val="24"/>
          <w:szCs w:val="24"/>
        </w:rPr>
        <w:t>’</w:t>
      </w:r>
      <w:r w:rsidR="00422E73" w:rsidRPr="00690A37">
        <w:rPr>
          <w:b/>
          <w:sz w:val="24"/>
          <w:szCs w:val="24"/>
        </w:rPr>
        <w:t xml:space="preserve"> </w:t>
      </w:r>
      <w:r w:rsidR="00F17224" w:rsidRPr="00690A37">
        <w:rPr>
          <w:b/>
          <w:sz w:val="24"/>
          <w:szCs w:val="24"/>
        </w:rPr>
        <w:t>Teaching</w:t>
      </w:r>
      <w:r w:rsidR="00422E73" w:rsidRPr="00690A37">
        <w:rPr>
          <w:b/>
          <w:sz w:val="24"/>
          <w:szCs w:val="24"/>
        </w:rPr>
        <w:t xml:space="preserve"> Excellence Award</w:t>
      </w:r>
      <w:r w:rsidR="00A830EB">
        <w:rPr>
          <w:b/>
          <w:sz w:val="24"/>
          <w:szCs w:val="24"/>
        </w:rPr>
        <w:t>s</w:t>
      </w:r>
      <w:r w:rsidR="00F17224" w:rsidRPr="00690A37">
        <w:rPr>
          <w:b/>
          <w:sz w:val="24"/>
          <w:szCs w:val="24"/>
        </w:rPr>
        <w:t xml:space="preserve">.  </w:t>
      </w:r>
      <w:r w:rsidR="00F17224" w:rsidRPr="00690A37">
        <w:rPr>
          <w:sz w:val="24"/>
          <w:szCs w:val="24"/>
        </w:rPr>
        <w:t>This award aims to recognize an academic department, program or unit that demonstrates exceptional commitment to and effectiveness in teaching.</w:t>
      </w:r>
    </w:p>
    <w:p w:rsidR="00F17224" w:rsidRPr="00690A37" w:rsidRDefault="00F17224" w:rsidP="00CC33E7">
      <w:pPr>
        <w:rPr>
          <w:sz w:val="24"/>
          <w:szCs w:val="24"/>
        </w:rPr>
      </w:pPr>
    </w:p>
    <w:p w:rsidR="00841E25" w:rsidRPr="009C7F09" w:rsidRDefault="00247C3A" w:rsidP="00841E25">
      <w:pPr>
        <w:tabs>
          <w:tab w:val="left" w:pos="0"/>
          <w:tab w:val="right" w:pos="9184"/>
        </w:tabs>
        <w:rPr>
          <w:b/>
          <w:szCs w:val="22"/>
        </w:rPr>
      </w:pPr>
      <w:r w:rsidRPr="00690A37">
        <w:rPr>
          <w:sz w:val="24"/>
          <w:szCs w:val="24"/>
        </w:rPr>
        <w:t xml:space="preserve">One $5,000 award will be made to </w:t>
      </w:r>
      <w:r w:rsidR="004E17F4" w:rsidRPr="00690A37">
        <w:rPr>
          <w:iCs/>
          <w:sz w:val="24"/>
          <w:szCs w:val="24"/>
        </w:rPr>
        <w:t>an academic department, program or other academic unit</w:t>
      </w:r>
      <w:r w:rsidR="004E17F4" w:rsidRPr="00690A37">
        <w:rPr>
          <w:sz w:val="24"/>
          <w:szCs w:val="24"/>
        </w:rPr>
        <w:t xml:space="preserve"> that is doing exceptional teaching</w:t>
      </w:r>
      <w:r w:rsidRPr="00690A37">
        <w:rPr>
          <w:sz w:val="24"/>
          <w:szCs w:val="24"/>
        </w:rPr>
        <w:t>.</w:t>
      </w:r>
      <w:r w:rsidR="00354F5E">
        <w:rPr>
          <w:sz w:val="24"/>
          <w:szCs w:val="24"/>
        </w:rPr>
        <w:t xml:space="preserve"> </w:t>
      </w:r>
      <w:r w:rsidRPr="00690A37">
        <w:rPr>
          <w:sz w:val="24"/>
          <w:szCs w:val="24"/>
        </w:rPr>
        <w:t xml:space="preserve"> </w:t>
      </w:r>
      <w:r w:rsidR="00A56BD0" w:rsidRPr="00690A37">
        <w:rPr>
          <w:sz w:val="24"/>
          <w:szCs w:val="24"/>
        </w:rPr>
        <w:t>It is expected that the</w:t>
      </w:r>
      <w:r w:rsidRPr="00690A37">
        <w:rPr>
          <w:sz w:val="24"/>
          <w:szCs w:val="24"/>
        </w:rPr>
        <w:t xml:space="preserve"> funds for this award </w:t>
      </w:r>
      <w:r w:rsidR="00A56BD0" w:rsidRPr="00690A37">
        <w:rPr>
          <w:sz w:val="24"/>
          <w:szCs w:val="24"/>
        </w:rPr>
        <w:t>will be used for further program enhancements, such as professional development or teaching-related supplies and expenses.</w:t>
      </w:r>
      <w:r w:rsidR="00A56BD0" w:rsidRPr="00690A37">
        <w:t xml:space="preserve"> </w:t>
      </w:r>
      <w:r w:rsidR="00354F5E">
        <w:t xml:space="preserve"> </w:t>
      </w:r>
      <w:r w:rsidR="00841E25" w:rsidRPr="00690A37">
        <w:rPr>
          <w:szCs w:val="22"/>
        </w:rPr>
        <w:t xml:space="preserve">The recipient is expected to be honored at the </w:t>
      </w:r>
      <w:r w:rsidR="000F0A5B">
        <w:rPr>
          <w:b/>
          <w:szCs w:val="22"/>
        </w:rPr>
        <w:t>April 5, 2019</w:t>
      </w:r>
      <w:r w:rsidR="009C7F09" w:rsidRPr="009C7F09">
        <w:rPr>
          <w:b/>
          <w:szCs w:val="22"/>
        </w:rPr>
        <w:t xml:space="preserve"> </w:t>
      </w:r>
      <w:r w:rsidR="00841E25" w:rsidRPr="009C7F09">
        <w:rPr>
          <w:b/>
          <w:szCs w:val="22"/>
        </w:rPr>
        <w:t>Board of Regents</w:t>
      </w:r>
      <w:r w:rsidR="00841E25" w:rsidRPr="00690A37">
        <w:rPr>
          <w:szCs w:val="22"/>
        </w:rPr>
        <w:t xml:space="preserve"> meeting at </w:t>
      </w:r>
      <w:r w:rsidR="00841E25" w:rsidRPr="009C7F09">
        <w:rPr>
          <w:b/>
          <w:szCs w:val="22"/>
        </w:rPr>
        <w:t>UW-</w:t>
      </w:r>
      <w:r w:rsidR="000F0A5B">
        <w:rPr>
          <w:b/>
          <w:szCs w:val="22"/>
        </w:rPr>
        <w:t>Whitewater</w:t>
      </w:r>
      <w:r w:rsidR="009C7F09" w:rsidRPr="009C7F09">
        <w:rPr>
          <w:b/>
          <w:szCs w:val="22"/>
        </w:rPr>
        <w:t>.</w:t>
      </w:r>
    </w:p>
    <w:p w:rsidR="00CC33E7" w:rsidRPr="00690A37" w:rsidRDefault="00CC33E7" w:rsidP="00CC33E7">
      <w:pPr>
        <w:rPr>
          <w:sz w:val="24"/>
          <w:szCs w:val="24"/>
        </w:rPr>
      </w:pPr>
    </w:p>
    <w:p w:rsidR="00247C3A" w:rsidRPr="00690A37" w:rsidRDefault="00247C3A" w:rsidP="00CC33E7">
      <w:pPr>
        <w:pStyle w:val="Heading3"/>
        <w:rPr>
          <w:rFonts w:ascii="Times New Roman" w:hAnsi="Times New Roman"/>
        </w:rPr>
      </w:pPr>
      <w:r w:rsidRPr="00690A37">
        <w:rPr>
          <w:rFonts w:ascii="Times New Roman" w:hAnsi="Times New Roman"/>
        </w:rPr>
        <w:t xml:space="preserve">Nomination Deadline: </w:t>
      </w:r>
      <w:r w:rsidR="000F0A5B">
        <w:rPr>
          <w:rFonts w:ascii="Times New Roman" w:hAnsi="Times New Roman"/>
        </w:rPr>
        <w:t>January 18,</w:t>
      </w:r>
      <w:r w:rsidR="00DB02B7" w:rsidRPr="00690A37">
        <w:rPr>
          <w:rFonts w:ascii="Times New Roman" w:hAnsi="Times New Roman"/>
          <w:szCs w:val="22"/>
        </w:rPr>
        <w:t xml:space="preserve"> 201</w:t>
      </w:r>
      <w:r w:rsidR="000F0A5B">
        <w:rPr>
          <w:rFonts w:ascii="Times New Roman" w:hAnsi="Times New Roman"/>
          <w:szCs w:val="22"/>
        </w:rPr>
        <w:t>9</w:t>
      </w:r>
    </w:p>
    <w:p w:rsidR="00210C48" w:rsidRPr="00690A37" w:rsidRDefault="00247C3A" w:rsidP="00210C48">
      <w:pPr>
        <w:rPr>
          <w:sz w:val="24"/>
          <w:szCs w:val="24"/>
        </w:rPr>
      </w:pPr>
      <w:r w:rsidRPr="00690A37">
        <w:rPr>
          <w:sz w:val="24"/>
          <w:szCs w:val="24"/>
        </w:rPr>
        <w:t xml:space="preserve">A complete set of nomination materials should be submitted electronically </w:t>
      </w:r>
      <w:r w:rsidR="008E1B9B" w:rsidRPr="00690A37">
        <w:rPr>
          <w:sz w:val="24"/>
          <w:szCs w:val="24"/>
        </w:rPr>
        <w:t xml:space="preserve">as one PDF document </w:t>
      </w:r>
      <w:r w:rsidRPr="00690A37">
        <w:rPr>
          <w:sz w:val="24"/>
          <w:szCs w:val="24"/>
        </w:rPr>
        <w:t xml:space="preserve">to </w:t>
      </w:r>
      <w:hyperlink r:id="rId11" w:history="1">
        <w:r w:rsidR="000F0A5B" w:rsidRPr="0054720C">
          <w:rPr>
            <w:rStyle w:val="Hyperlink"/>
            <w:sz w:val="24"/>
            <w:szCs w:val="24"/>
          </w:rPr>
          <w:t>apei@uwsa.edu</w:t>
        </w:r>
      </w:hyperlink>
      <w:r w:rsidR="00C024B5" w:rsidRPr="00690A37">
        <w:rPr>
          <w:sz w:val="24"/>
          <w:szCs w:val="24"/>
        </w:rPr>
        <w:t xml:space="preserve"> </w:t>
      </w:r>
      <w:r w:rsidR="00422E73" w:rsidRPr="00690A37">
        <w:rPr>
          <w:sz w:val="24"/>
          <w:szCs w:val="24"/>
        </w:rPr>
        <w:t xml:space="preserve">no later than </w:t>
      </w:r>
      <w:r w:rsidR="000F0A5B">
        <w:rPr>
          <w:b/>
          <w:szCs w:val="22"/>
        </w:rPr>
        <w:t>January 18</w:t>
      </w:r>
      <w:r w:rsidR="009C4E45">
        <w:rPr>
          <w:b/>
          <w:szCs w:val="22"/>
        </w:rPr>
        <w:t>,</w:t>
      </w:r>
      <w:r w:rsidR="00DB02B7" w:rsidRPr="00690A37">
        <w:rPr>
          <w:b/>
          <w:szCs w:val="22"/>
        </w:rPr>
        <w:t xml:space="preserve"> 201</w:t>
      </w:r>
      <w:r w:rsidR="000F0A5B">
        <w:rPr>
          <w:b/>
          <w:szCs w:val="22"/>
        </w:rPr>
        <w:t>9</w:t>
      </w:r>
      <w:r w:rsidRPr="00690A37">
        <w:rPr>
          <w:sz w:val="24"/>
          <w:szCs w:val="24"/>
        </w:rPr>
        <w:t xml:space="preserve">. </w:t>
      </w:r>
      <w:r w:rsidR="00F905A1">
        <w:rPr>
          <w:sz w:val="24"/>
          <w:szCs w:val="24"/>
        </w:rPr>
        <w:t xml:space="preserve"> </w:t>
      </w:r>
      <w:r w:rsidRPr="00690A37">
        <w:rPr>
          <w:sz w:val="24"/>
          <w:szCs w:val="24"/>
        </w:rPr>
        <w:t xml:space="preserve">Check with your campus administration office for institutional deadlines that precede the posted UW System due date. </w:t>
      </w:r>
      <w:r w:rsidR="00354F5E">
        <w:rPr>
          <w:sz w:val="24"/>
          <w:szCs w:val="24"/>
        </w:rPr>
        <w:t xml:space="preserve"> </w:t>
      </w:r>
      <w:r w:rsidRPr="00690A37">
        <w:rPr>
          <w:sz w:val="24"/>
          <w:szCs w:val="24"/>
        </w:rPr>
        <w:t xml:space="preserve">Please refer all questions to </w:t>
      </w:r>
      <w:r w:rsidR="00210C48" w:rsidRPr="00690A37">
        <w:rPr>
          <w:sz w:val="24"/>
          <w:szCs w:val="24"/>
        </w:rPr>
        <w:t xml:space="preserve">Sal Carranza, Senior </w:t>
      </w:r>
      <w:r w:rsidR="000F0A5B">
        <w:rPr>
          <w:sz w:val="24"/>
          <w:szCs w:val="24"/>
        </w:rPr>
        <w:t>Policy Advisor</w:t>
      </w:r>
      <w:r w:rsidR="00210C48" w:rsidRPr="00690A37">
        <w:rPr>
          <w:sz w:val="24"/>
          <w:szCs w:val="24"/>
        </w:rPr>
        <w:t xml:space="preserve">, (608) 265-9177 or </w:t>
      </w:r>
      <w:hyperlink r:id="rId12" w:history="1">
        <w:r w:rsidR="00214B51" w:rsidRPr="00690A37">
          <w:rPr>
            <w:rStyle w:val="Hyperlink"/>
            <w:sz w:val="24"/>
            <w:szCs w:val="24"/>
          </w:rPr>
          <w:t>scarranza@uwsa.edu</w:t>
        </w:r>
      </w:hyperlink>
      <w:r w:rsidR="00210C48" w:rsidRPr="00690A37">
        <w:rPr>
          <w:sz w:val="24"/>
          <w:szCs w:val="24"/>
        </w:rPr>
        <w:t>.</w:t>
      </w:r>
    </w:p>
    <w:p w:rsidR="002736C9" w:rsidRPr="00690A37" w:rsidRDefault="002736C9" w:rsidP="00CC33E7">
      <w:pPr>
        <w:rPr>
          <w:sz w:val="24"/>
          <w:szCs w:val="24"/>
        </w:rPr>
      </w:pPr>
    </w:p>
    <w:p w:rsidR="00247C3A" w:rsidRPr="00690A37" w:rsidRDefault="00247C3A" w:rsidP="00CC33E7">
      <w:pPr>
        <w:pStyle w:val="Heading3"/>
        <w:rPr>
          <w:rFonts w:ascii="Times New Roman" w:hAnsi="Times New Roman"/>
        </w:rPr>
      </w:pPr>
      <w:r w:rsidRPr="00690A37">
        <w:rPr>
          <w:rFonts w:ascii="Times New Roman" w:hAnsi="Times New Roman"/>
        </w:rPr>
        <w:t>Selection Committee</w:t>
      </w:r>
    </w:p>
    <w:p w:rsidR="00247C3A" w:rsidRPr="00690A37" w:rsidRDefault="00915CE9" w:rsidP="00CC33E7">
      <w:pPr>
        <w:rPr>
          <w:sz w:val="24"/>
          <w:szCs w:val="24"/>
        </w:rPr>
      </w:pPr>
      <w:r w:rsidRPr="00690A37">
        <w:rPr>
          <w:sz w:val="24"/>
          <w:szCs w:val="24"/>
        </w:rPr>
        <w:t>The</w:t>
      </w:r>
      <w:r w:rsidR="00247C3A" w:rsidRPr="00690A37">
        <w:rPr>
          <w:sz w:val="24"/>
          <w:szCs w:val="24"/>
        </w:rPr>
        <w:t xml:space="preserve"> Regent</w:t>
      </w:r>
      <w:r w:rsidR="00430C8A" w:rsidRPr="00690A37">
        <w:rPr>
          <w:sz w:val="24"/>
          <w:szCs w:val="24"/>
        </w:rPr>
        <w:t>s’</w:t>
      </w:r>
      <w:r w:rsidR="00247C3A" w:rsidRPr="00690A37">
        <w:rPr>
          <w:sz w:val="24"/>
          <w:szCs w:val="24"/>
        </w:rPr>
        <w:t xml:space="preserve"> </w:t>
      </w:r>
      <w:r w:rsidRPr="00690A37">
        <w:rPr>
          <w:sz w:val="24"/>
          <w:szCs w:val="24"/>
        </w:rPr>
        <w:t>Teaching Excellence Award</w:t>
      </w:r>
      <w:r w:rsidR="00AD57D5">
        <w:rPr>
          <w:sz w:val="24"/>
          <w:szCs w:val="24"/>
        </w:rPr>
        <w:t>s</w:t>
      </w:r>
      <w:r w:rsidRPr="00690A37">
        <w:rPr>
          <w:sz w:val="24"/>
          <w:szCs w:val="24"/>
        </w:rPr>
        <w:t xml:space="preserve"> </w:t>
      </w:r>
      <w:r w:rsidR="00247C3A" w:rsidRPr="00690A37">
        <w:rPr>
          <w:sz w:val="24"/>
          <w:szCs w:val="24"/>
        </w:rPr>
        <w:t>Committee will select the recipients.</w:t>
      </w:r>
    </w:p>
    <w:p w:rsidR="002736C9" w:rsidRPr="00690A37" w:rsidRDefault="002736C9" w:rsidP="00CC33E7">
      <w:pPr>
        <w:rPr>
          <w:sz w:val="24"/>
          <w:szCs w:val="24"/>
        </w:rPr>
      </w:pPr>
    </w:p>
    <w:p w:rsidR="00247C3A" w:rsidRPr="00690A37" w:rsidRDefault="00247C3A" w:rsidP="00CC33E7">
      <w:pPr>
        <w:pStyle w:val="Heading3"/>
        <w:rPr>
          <w:rFonts w:ascii="Times New Roman" w:hAnsi="Times New Roman"/>
          <w:szCs w:val="22"/>
        </w:rPr>
      </w:pPr>
      <w:r w:rsidRPr="00690A37">
        <w:rPr>
          <w:rFonts w:ascii="Times New Roman" w:hAnsi="Times New Roman"/>
          <w:szCs w:val="22"/>
        </w:rPr>
        <w:t>Eligibility</w:t>
      </w:r>
    </w:p>
    <w:p w:rsidR="002736C9" w:rsidRPr="00690A37" w:rsidRDefault="004E17F4" w:rsidP="00CC33E7">
      <w:pPr>
        <w:rPr>
          <w:sz w:val="24"/>
          <w:szCs w:val="24"/>
        </w:rPr>
      </w:pPr>
      <w:r w:rsidRPr="00690A37">
        <w:rPr>
          <w:iCs/>
          <w:sz w:val="24"/>
          <w:szCs w:val="24"/>
        </w:rPr>
        <w:t xml:space="preserve">Academic departments, programs and other academic </w:t>
      </w:r>
      <w:r w:rsidR="00430C8A" w:rsidRPr="00690A37">
        <w:rPr>
          <w:iCs/>
          <w:sz w:val="24"/>
          <w:szCs w:val="24"/>
        </w:rPr>
        <w:t xml:space="preserve">units </w:t>
      </w:r>
      <w:r w:rsidR="00247C3A" w:rsidRPr="00690A37">
        <w:rPr>
          <w:sz w:val="24"/>
          <w:szCs w:val="24"/>
        </w:rPr>
        <w:t>are eligible for the award</w:t>
      </w:r>
      <w:r w:rsidR="00915CE9" w:rsidRPr="00690A37">
        <w:rPr>
          <w:sz w:val="24"/>
          <w:szCs w:val="24"/>
        </w:rPr>
        <w:t xml:space="preserve"> </w:t>
      </w:r>
      <w:r w:rsidR="00915CE9" w:rsidRPr="00690A37">
        <w:rPr>
          <w:iCs/>
          <w:sz w:val="24"/>
          <w:szCs w:val="24"/>
        </w:rPr>
        <w:t>(called the "department/program award")</w:t>
      </w:r>
      <w:r w:rsidR="007C21AA" w:rsidRPr="00690A37">
        <w:rPr>
          <w:sz w:val="24"/>
          <w:szCs w:val="24"/>
        </w:rPr>
        <w:t>.</w:t>
      </w:r>
    </w:p>
    <w:p w:rsidR="00247C3A" w:rsidRPr="00690A37" w:rsidRDefault="00247C3A" w:rsidP="00CC33E7">
      <w:pPr>
        <w:rPr>
          <w:sz w:val="24"/>
          <w:szCs w:val="24"/>
        </w:rPr>
      </w:pPr>
      <w:r w:rsidRPr="00690A37">
        <w:rPr>
          <w:sz w:val="24"/>
          <w:szCs w:val="24"/>
        </w:rPr>
        <w:t xml:space="preserve"> </w:t>
      </w:r>
    </w:p>
    <w:p w:rsidR="00247C3A" w:rsidRPr="00690A37" w:rsidRDefault="00247C3A" w:rsidP="00CC33E7">
      <w:pPr>
        <w:pStyle w:val="Heading3"/>
        <w:rPr>
          <w:rFonts w:ascii="Times New Roman" w:hAnsi="Times New Roman"/>
        </w:rPr>
      </w:pPr>
      <w:r w:rsidRPr="00690A37">
        <w:rPr>
          <w:rFonts w:ascii="Times New Roman" w:hAnsi="Times New Roman"/>
        </w:rPr>
        <w:t>Criteria</w:t>
      </w:r>
    </w:p>
    <w:p w:rsidR="00F17224" w:rsidRPr="00690A37" w:rsidRDefault="00F17224" w:rsidP="00F17224">
      <w:pPr>
        <w:tabs>
          <w:tab w:val="left" w:pos="-720"/>
        </w:tabs>
        <w:suppressAutoHyphens/>
        <w:rPr>
          <w:sz w:val="24"/>
          <w:szCs w:val="24"/>
        </w:rPr>
      </w:pPr>
      <w:r w:rsidRPr="00690A37">
        <w:rPr>
          <w:sz w:val="24"/>
          <w:szCs w:val="24"/>
        </w:rPr>
        <w:t xml:space="preserve">For each item below, we have given examples of the kinds of evidence that might be appropriate.  Please note that </w:t>
      </w:r>
      <w:r w:rsidR="00B35D65" w:rsidRPr="00690A37">
        <w:rPr>
          <w:sz w:val="24"/>
          <w:szCs w:val="24"/>
        </w:rPr>
        <w:t>these</w:t>
      </w:r>
      <w:r w:rsidRPr="00690A37">
        <w:rPr>
          <w:sz w:val="24"/>
          <w:szCs w:val="24"/>
        </w:rPr>
        <w:t xml:space="preserve"> suggestions are meant to help nominated departments/programs as they assemble material.  </w:t>
      </w:r>
      <w:r w:rsidR="00B35D65" w:rsidRPr="00690A37">
        <w:rPr>
          <w:sz w:val="24"/>
          <w:szCs w:val="24"/>
        </w:rPr>
        <w:t>There is no expectation that</w:t>
      </w:r>
      <w:r w:rsidRPr="00690A37">
        <w:rPr>
          <w:sz w:val="24"/>
          <w:szCs w:val="24"/>
        </w:rPr>
        <w:t xml:space="preserve"> an</w:t>
      </w:r>
      <w:r w:rsidR="00B35D65" w:rsidRPr="00690A37">
        <w:rPr>
          <w:sz w:val="24"/>
          <w:szCs w:val="24"/>
        </w:rPr>
        <w:t xml:space="preserve">y single department or program will </w:t>
      </w:r>
      <w:r w:rsidRPr="00690A37">
        <w:rPr>
          <w:sz w:val="24"/>
          <w:szCs w:val="24"/>
        </w:rPr>
        <w:t xml:space="preserve">include all of the kinds of evidence suggested here. </w:t>
      </w:r>
      <w:r w:rsidR="00354F5E">
        <w:rPr>
          <w:sz w:val="24"/>
          <w:szCs w:val="24"/>
        </w:rPr>
        <w:t xml:space="preserve"> </w:t>
      </w:r>
      <w:r w:rsidRPr="00690A37">
        <w:rPr>
          <w:sz w:val="24"/>
          <w:szCs w:val="24"/>
        </w:rPr>
        <w:t xml:space="preserve">Every department and program is distinct and will need to document its accomplishments in a unique way.  </w:t>
      </w:r>
      <w:r w:rsidR="00B35D65" w:rsidRPr="00690A37">
        <w:rPr>
          <w:sz w:val="24"/>
          <w:szCs w:val="24"/>
        </w:rPr>
        <w:t>You are encouraged</w:t>
      </w:r>
      <w:r w:rsidRPr="00690A37">
        <w:rPr>
          <w:sz w:val="24"/>
          <w:szCs w:val="24"/>
        </w:rPr>
        <w:t xml:space="preserve"> to be both concise and creative in your selection.</w:t>
      </w:r>
    </w:p>
    <w:p w:rsidR="00F17224" w:rsidRPr="00690A37" w:rsidRDefault="00F17224" w:rsidP="00F17224">
      <w:pPr>
        <w:tabs>
          <w:tab w:val="left" w:pos="-720"/>
        </w:tabs>
        <w:suppressAutoHyphens/>
        <w:rPr>
          <w:sz w:val="24"/>
          <w:szCs w:val="24"/>
        </w:rPr>
      </w:pPr>
    </w:p>
    <w:p w:rsidR="00372B50" w:rsidRPr="00690A37" w:rsidRDefault="00372B50">
      <w:pPr>
        <w:rPr>
          <w:sz w:val="24"/>
          <w:szCs w:val="24"/>
        </w:rPr>
      </w:pPr>
      <w:r w:rsidRPr="00690A37">
        <w:rPr>
          <w:sz w:val="24"/>
          <w:szCs w:val="24"/>
        </w:rPr>
        <w:br w:type="page"/>
      </w:r>
    </w:p>
    <w:p w:rsidR="00514A92" w:rsidRPr="00690A37" w:rsidRDefault="00247C3A" w:rsidP="002736C9">
      <w:pPr>
        <w:rPr>
          <w:sz w:val="24"/>
          <w:szCs w:val="24"/>
        </w:rPr>
      </w:pPr>
      <w:r w:rsidRPr="00690A37">
        <w:rPr>
          <w:sz w:val="24"/>
          <w:szCs w:val="24"/>
        </w:rPr>
        <w:lastRenderedPageBreak/>
        <w:t>Nomination materials should address the following criteria, as they will be considered by the Regent</w:t>
      </w:r>
      <w:r w:rsidR="00354F5E">
        <w:rPr>
          <w:sz w:val="24"/>
          <w:szCs w:val="24"/>
        </w:rPr>
        <w:t>s’</w:t>
      </w:r>
      <w:r w:rsidRPr="00690A37">
        <w:rPr>
          <w:sz w:val="24"/>
          <w:szCs w:val="24"/>
        </w:rPr>
        <w:t xml:space="preserve"> Committee in the review of all nominations. </w:t>
      </w:r>
    </w:p>
    <w:p w:rsidR="00F17224" w:rsidRPr="00690A37" w:rsidRDefault="00F17224" w:rsidP="002736C9">
      <w:pPr>
        <w:rPr>
          <w:sz w:val="24"/>
          <w:szCs w:val="24"/>
        </w:rPr>
      </w:pPr>
    </w:p>
    <w:p w:rsidR="00372B50" w:rsidRPr="00690A37" w:rsidRDefault="00372B50" w:rsidP="00372B50">
      <w:pPr>
        <w:pStyle w:val="ListParagraph"/>
        <w:numPr>
          <w:ilvl w:val="0"/>
          <w:numId w:val="27"/>
        </w:numPr>
        <w:tabs>
          <w:tab w:val="left" w:pos="-720"/>
        </w:tabs>
        <w:suppressAutoHyphens/>
        <w:ind w:left="360"/>
        <w:rPr>
          <w:b/>
          <w:sz w:val="24"/>
          <w:szCs w:val="24"/>
        </w:rPr>
      </w:pPr>
      <w:r w:rsidRPr="00690A37">
        <w:rPr>
          <w:b/>
          <w:sz w:val="24"/>
          <w:szCs w:val="24"/>
        </w:rPr>
        <w:t>Recognize and foster excellence in teaching.</w:t>
      </w:r>
    </w:p>
    <w:p w:rsidR="00372B50" w:rsidRPr="00690A37" w:rsidRDefault="00372B50" w:rsidP="00372B50">
      <w:pPr>
        <w:tabs>
          <w:tab w:val="left" w:pos="-720"/>
        </w:tabs>
        <w:suppressAutoHyphens/>
        <w:rPr>
          <w:sz w:val="24"/>
          <w:szCs w:val="24"/>
        </w:rPr>
      </w:pPr>
    </w:p>
    <w:p w:rsidR="00372B50" w:rsidRPr="00690A37" w:rsidRDefault="00372B50" w:rsidP="00372B50">
      <w:pPr>
        <w:tabs>
          <w:tab w:val="left" w:pos="-720"/>
        </w:tabs>
        <w:suppressAutoHyphens/>
        <w:rPr>
          <w:sz w:val="24"/>
          <w:szCs w:val="24"/>
        </w:rPr>
      </w:pPr>
      <w:r w:rsidRPr="00690A37">
        <w:rPr>
          <w:sz w:val="24"/>
          <w:szCs w:val="24"/>
        </w:rPr>
        <w:tab/>
        <w:t>Examples of documentation might include evidence of:</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Active support for innovative instruction, for a diversity of teaching models and approaches, and for continuous improvement in teaching, learning, and advising;</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Department- or program-based awards; consideration of teaching excellence in merit pay, promotion and tenure decisions; or other incentives or rewards for outstanding teaching;</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Where applicable, evidence of professional development for graduate students, instructional academic staff</w:t>
      </w:r>
      <w:r w:rsidRPr="00690A37">
        <w:rPr>
          <w:i/>
          <w:sz w:val="24"/>
          <w:szCs w:val="24"/>
        </w:rPr>
        <w:t xml:space="preserve"> </w:t>
      </w:r>
      <w:r w:rsidRPr="00690A37">
        <w:rPr>
          <w:sz w:val="24"/>
          <w:szCs w:val="24"/>
        </w:rPr>
        <w:t>and/or part-time and adjunct instructors as effective teachers and advisors;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Evidence of and recognition for the scholarship of teaching and learning, related publication</w:t>
      </w:r>
      <w:r w:rsidR="00430C8A" w:rsidRPr="00690A37">
        <w:rPr>
          <w:sz w:val="24"/>
          <w:szCs w:val="24"/>
        </w:rPr>
        <w:t>s</w:t>
      </w:r>
      <w:r w:rsidRPr="00690A37">
        <w:rPr>
          <w:sz w:val="24"/>
          <w:szCs w:val="24"/>
        </w:rPr>
        <w:t>, software, and other work that advances the practice of teaching and learning;</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Clear articulation of how quality in teaching is defined, promoted and assessed by the department/program;</w:t>
      </w:r>
      <w:r w:rsidR="00DD05D3" w:rsidRPr="00690A37">
        <w:rPr>
          <w:sz w:val="24"/>
          <w:szCs w:val="24"/>
        </w:rPr>
        <w:t xml:space="preserve"> and</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Effective use of technology to enhance teaching and learning; collaborative efforts to integrate and assess the appropriate use of technology across programs and curricula.</w:t>
      </w:r>
    </w:p>
    <w:p w:rsidR="00372B50" w:rsidRPr="00690A37" w:rsidRDefault="00372B50" w:rsidP="00372B50">
      <w:pPr>
        <w:tabs>
          <w:tab w:val="left" w:pos="-720"/>
        </w:tabs>
        <w:suppressAutoHyphens/>
        <w:rPr>
          <w:sz w:val="24"/>
          <w:szCs w:val="24"/>
        </w:rPr>
      </w:pPr>
    </w:p>
    <w:p w:rsidR="00372B50" w:rsidRPr="00690A37" w:rsidRDefault="00372B50" w:rsidP="00372B50">
      <w:pPr>
        <w:pStyle w:val="ListParagraph"/>
        <w:numPr>
          <w:ilvl w:val="0"/>
          <w:numId w:val="27"/>
        </w:numPr>
        <w:tabs>
          <w:tab w:val="left" w:pos="-720"/>
        </w:tabs>
        <w:suppressAutoHyphens/>
        <w:rPr>
          <w:b/>
          <w:sz w:val="24"/>
          <w:szCs w:val="24"/>
        </w:rPr>
      </w:pPr>
      <w:r w:rsidRPr="00690A37">
        <w:rPr>
          <w:b/>
          <w:sz w:val="24"/>
          <w:szCs w:val="24"/>
        </w:rPr>
        <w:t>Approach teaching as a public, collaborative activity.</w:t>
      </w:r>
    </w:p>
    <w:p w:rsidR="00372B50" w:rsidRPr="00690A37" w:rsidRDefault="00372B50" w:rsidP="00372B50">
      <w:pPr>
        <w:tabs>
          <w:tab w:val="left" w:pos="-720"/>
        </w:tabs>
        <w:suppressAutoHyphens/>
        <w:rPr>
          <w:sz w:val="24"/>
          <w:szCs w:val="24"/>
        </w:rPr>
      </w:pPr>
    </w:p>
    <w:p w:rsidR="00372B50" w:rsidRPr="00690A37" w:rsidRDefault="00372B50" w:rsidP="00372B50">
      <w:pPr>
        <w:tabs>
          <w:tab w:val="left" w:pos="-720"/>
        </w:tabs>
        <w:suppressAutoHyphens/>
        <w:rPr>
          <w:sz w:val="24"/>
          <w:szCs w:val="24"/>
        </w:rPr>
      </w:pPr>
      <w:r w:rsidRPr="00690A37">
        <w:rPr>
          <w:sz w:val="24"/>
          <w:szCs w:val="24"/>
        </w:rPr>
        <w:tab/>
        <w:t>Examples of documentation might include evidence of:</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Mentoring programs;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Formal or informal teaching discussion groups;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Support for faculty visiting one another's classrooms and other kinds of peer review;</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Team and interdisciplinary teaching;</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Encouragement of faculty to develop and share teaching portfolios;</w:t>
      </w:r>
      <w:r w:rsidR="00DD05D3" w:rsidRPr="00690A37">
        <w:rPr>
          <w:sz w:val="24"/>
          <w:szCs w:val="24"/>
        </w:rPr>
        <w:t xml:space="preserve"> and</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Support for and evidence of faculty engagement in the scholarship of teaching and learning</w:t>
      </w:r>
      <w:r w:rsidRPr="00690A37">
        <w:rPr>
          <w:i/>
          <w:sz w:val="24"/>
          <w:szCs w:val="24"/>
        </w:rPr>
        <w:t>.</w:t>
      </w:r>
    </w:p>
    <w:p w:rsidR="00372B50" w:rsidRPr="00690A37" w:rsidRDefault="00372B50" w:rsidP="00372B50">
      <w:pPr>
        <w:tabs>
          <w:tab w:val="left" w:pos="-720"/>
        </w:tabs>
        <w:suppressAutoHyphens/>
        <w:rPr>
          <w:sz w:val="24"/>
          <w:szCs w:val="24"/>
        </w:rPr>
      </w:pPr>
    </w:p>
    <w:p w:rsidR="00372B50" w:rsidRPr="00690A37" w:rsidRDefault="00372B50" w:rsidP="00372B50">
      <w:pPr>
        <w:pStyle w:val="ListParagraph"/>
        <w:numPr>
          <w:ilvl w:val="0"/>
          <w:numId w:val="27"/>
        </w:numPr>
        <w:tabs>
          <w:tab w:val="left" w:pos="-720"/>
          <w:tab w:val="left" w:pos="0"/>
        </w:tabs>
        <w:suppressAutoHyphens/>
        <w:rPr>
          <w:b/>
          <w:sz w:val="24"/>
          <w:szCs w:val="24"/>
        </w:rPr>
      </w:pPr>
      <w:r w:rsidRPr="00690A37">
        <w:rPr>
          <w:b/>
          <w:sz w:val="24"/>
          <w:szCs w:val="24"/>
        </w:rPr>
        <w:t>Have thoughtfully constructed effective curricula for academic programs</w:t>
      </w:r>
      <w:r w:rsidR="00430C8A" w:rsidRPr="00690A37">
        <w:rPr>
          <w:b/>
          <w:sz w:val="24"/>
          <w:szCs w:val="24"/>
        </w:rPr>
        <w:t>,</w:t>
      </w:r>
      <w:r w:rsidRPr="00690A37">
        <w:rPr>
          <w:b/>
          <w:sz w:val="24"/>
          <w:szCs w:val="24"/>
        </w:rPr>
        <w:t xml:space="preserve"> ranging from general education to graduate degree programs, as applicable.</w:t>
      </w:r>
    </w:p>
    <w:p w:rsidR="00372B50" w:rsidRPr="00690A37" w:rsidRDefault="00372B50" w:rsidP="00372B50">
      <w:pPr>
        <w:tabs>
          <w:tab w:val="left" w:pos="-720"/>
        </w:tabs>
        <w:suppressAutoHyphens/>
        <w:rPr>
          <w:sz w:val="24"/>
          <w:szCs w:val="24"/>
        </w:rPr>
      </w:pPr>
    </w:p>
    <w:p w:rsidR="00372B50" w:rsidRPr="00690A37" w:rsidRDefault="00372B50" w:rsidP="00372B50">
      <w:pPr>
        <w:tabs>
          <w:tab w:val="left" w:pos="-720"/>
          <w:tab w:val="left" w:pos="0"/>
        </w:tabs>
        <w:suppressAutoHyphens/>
        <w:ind w:left="720" w:hanging="720"/>
        <w:rPr>
          <w:sz w:val="24"/>
          <w:szCs w:val="24"/>
        </w:rPr>
      </w:pPr>
      <w:r w:rsidRPr="00690A37">
        <w:rPr>
          <w:sz w:val="24"/>
          <w:szCs w:val="24"/>
        </w:rPr>
        <w:tab/>
        <w:t>Examples of documentation might include evidence of:</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Curricular goals that are well-defined, assessed, and effectively communicated to faculty and students;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Curricular goals that promote global, civic, and multicultural understanding;</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Thoughtfully and coherently structured curricula;</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Consideration of the way the curriculum relates to students' broader education;</w:t>
      </w:r>
      <w:r w:rsidR="009F56E5">
        <w:rPr>
          <w:sz w:val="24"/>
          <w:szCs w:val="24"/>
        </w:rPr>
        <w:t xml:space="preserve"> </w:t>
      </w:r>
    </w:p>
    <w:p w:rsidR="00372B50" w:rsidRPr="00690A37" w:rsidRDefault="00372B50" w:rsidP="00372B50">
      <w:pPr>
        <w:numPr>
          <w:ilvl w:val="0"/>
          <w:numId w:val="26"/>
        </w:numPr>
        <w:tabs>
          <w:tab w:val="left" w:pos="-720"/>
          <w:tab w:val="left" w:pos="0"/>
          <w:tab w:val="left" w:pos="1080"/>
        </w:tabs>
        <w:suppressAutoHyphens/>
        <w:overflowPunct w:val="0"/>
        <w:autoSpaceDE w:val="0"/>
        <w:autoSpaceDN w:val="0"/>
        <w:adjustRightInd w:val="0"/>
        <w:ind w:left="1080"/>
        <w:textAlignment w:val="baseline"/>
        <w:rPr>
          <w:sz w:val="24"/>
          <w:szCs w:val="24"/>
        </w:rPr>
      </w:pPr>
      <w:r w:rsidRPr="00690A37">
        <w:rPr>
          <w:sz w:val="24"/>
          <w:szCs w:val="24"/>
        </w:rPr>
        <w:t>Consideration of the way the curriculum serves a variety of student needs and populations through an Inclusive Excellence model;</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lastRenderedPageBreak/>
        <w:t>A well-defined, effective and ongoing process for developing, assessing and changing curricula;</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Opportunities for faculty and undergraduate student research;</w:t>
      </w:r>
      <w:r w:rsidR="009F56E5">
        <w:rPr>
          <w:sz w:val="24"/>
          <w:szCs w:val="24"/>
        </w:rPr>
        <w:t xml:space="preserve"> and</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Opportunities for service learning effectively integrated into academic programs</w:t>
      </w:r>
      <w:r w:rsidRPr="00690A37">
        <w:rPr>
          <w:i/>
          <w:sz w:val="24"/>
          <w:szCs w:val="24"/>
        </w:rPr>
        <w:t>.</w:t>
      </w:r>
    </w:p>
    <w:p w:rsidR="00372B50" w:rsidRPr="00690A37" w:rsidRDefault="00372B50" w:rsidP="00372B50">
      <w:pPr>
        <w:tabs>
          <w:tab w:val="left" w:pos="-720"/>
        </w:tabs>
        <w:suppressAutoHyphens/>
        <w:rPr>
          <w:sz w:val="24"/>
          <w:szCs w:val="24"/>
        </w:rPr>
      </w:pPr>
    </w:p>
    <w:p w:rsidR="00372B50" w:rsidRPr="00690A37" w:rsidRDefault="00372B50" w:rsidP="00372B50">
      <w:pPr>
        <w:pStyle w:val="ListParagraph"/>
        <w:numPr>
          <w:ilvl w:val="0"/>
          <w:numId w:val="27"/>
        </w:numPr>
        <w:tabs>
          <w:tab w:val="left" w:pos="-720"/>
          <w:tab w:val="left" w:pos="0"/>
        </w:tabs>
        <w:suppressAutoHyphens/>
        <w:rPr>
          <w:b/>
          <w:sz w:val="24"/>
          <w:szCs w:val="24"/>
        </w:rPr>
      </w:pPr>
      <w:r w:rsidRPr="00690A37">
        <w:rPr>
          <w:b/>
          <w:sz w:val="24"/>
          <w:szCs w:val="24"/>
        </w:rPr>
        <w:t>Create a positive climate for learning and demonstrate significant impact on student learning.</w:t>
      </w:r>
    </w:p>
    <w:p w:rsidR="00372B50" w:rsidRPr="00690A37" w:rsidRDefault="00372B50" w:rsidP="00372B50">
      <w:pPr>
        <w:tabs>
          <w:tab w:val="left" w:pos="-720"/>
        </w:tabs>
        <w:suppressAutoHyphens/>
        <w:rPr>
          <w:sz w:val="24"/>
          <w:szCs w:val="24"/>
        </w:rPr>
      </w:pPr>
    </w:p>
    <w:p w:rsidR="00372B50" w:rsidRPr="00690A37" w:rsidRDefault="00372B50" w:rsidP="00372B50">
      <w:pPr>
        <w:tabs>
          <w:tab w:val="left" w:pos="-720"/>
        </w:tabs>
        <w:suppressAutoHyphens/>
        <w:rPr>
          <w:sz w:val="24"/>
          <w:szCs w:val="24"/>
        </w:rPr>
      </w:pPr>
      <w:r w:rsidRPr="00690A37">
        <w:rPr>
          <w:sz w:val="24"/>
          <w:szCs w:val="24"/>
        </w:rPr>
        <w:tab/>
        <w:t>Examples of documentation might include evidence of:</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Recruitment and retention of majors, minors, graduate students, etc., as applicable;</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Non-major enrollment in department/program courses as electives;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Thoughtful, constructive, and effective advising of students shared by all or most department/program members;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Creation of and support for learning communities</w:t>
      </w:r>
      <w:r w:rsidRPr="00690A37">
        <w:rPr>
          <w:i/>
          <w:sz w:val="24"/>
          <w:szCs w:val="24"/>
        </w:rPr>
        <w:t>;</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Opportunities for interaction and dialogue among students;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Department- or program-sponsored co-curricular activities for students;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Consideration of obstacles the curriculum presents to under-represented groups of students and steps taken to remove those obstacles;</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Positive student evaluations of courses;</w:t>
      </w:r>
      <w:r w:rsidR="009F56E5">
        <w:rPr>
          <w:sz w:val="24"/>
          <w:szCs w:val="24"/>
        </w:rPr>
        <w:t xml:space="preserve"> and</w:t>
      </w:r>
    </w:p>
    <w:p w:rsidR="00372B50" w:rsidRPr="00690A37" w:rsidRDefault="00372B50" w:rsidP="00372B50">
      <w:pPr>
        <w:numPr>
          <w:ilvl w:val="0"/>
          <w:numId w:val="26"/>
        </w:numPr>
        <w:tabs>
          <w:tab w:val="left" w:pos="-720"/>
          <w:tab w:val="left" w:pos="0"/>
          <w:tab w:val="left" w:pos="720"/>
          <w:tab w:val="left" w:pos="1080"/>
        </w:tabs>
        <w:suppressAutoHyphens/>
        <w:overflowPunct w:val="0"/>
        <w:autoSpaceDE w:val="0"/>
        <w:autoSpaceDN w:val="0"/>
        <w:adjustRightInd w:val="0"/>
        <w:ind w:left="1080"/>
        <w:textAlignment w:val="baseline"/>
        <w:rPr>
          <w:sz w:val="24"/>
          <w:szCs w:val="24"/>
        </w:rPr>
      </w:pPr>
      <w:r w:rsidRPr="00690A37">
        <w:rPr>
          <w:sz w:val="24"/>
          <w:szCs w:val="24"/>
        </w:rPr>
        <w:t>Assessment of student learning (beyond assigning course grades) in the classroom and overall program/department; results of such assessments in the classroom; use of assessment results to measure and ensure quality and pl</w:t>
      </w:r>
      <w:r w:rsidR="00DD05D3" w:rsidRPr="00690A37">
        <w:rPr>
          <w:sz w:val="24"/>
          <w:szCs w:val="24"/>
        </w:rPr>
        <w:t>an further program improvements.</w:t>
      </w:r>
    </w:p>
    <w:p w:rsidR="002736C9" w:rsidRPr="00690A37" w:rsidRDefault="002736C9" w:rsidP="002736C9">
      <w:pPr>
        <w:rPr>
          <w:sz w:val="24"/>
          <w:szCs w:val="24"/>
        </w:rPr>
      </w:pPr>
    </w:p>
    <w:p w:rsidR="00247C3A" w:rsidRPr="00690A37" w:rsidRDefault="00247C3A" w:rsidP="00CC33E7">
      <w:pPr>
        <w:pStyle w:val="Heading3"/>
        <w:rPr>
          <w:rFonts w:ascii="Times New Roman" w:hAnsi="Times New Roman"/>
        </w:rPr>
      </w:pPr>
      <w:r w:rsidRPr="00690A37">
        <w:rPr>
          <w:rFonts w:ascii="Times New Roman" w:hAnsi="Times New Roman"/>
        </w:rPr>
        <w:t>Nomination Materials</w:t>
      </w:r>
    </w:p>
    <w:p w:rsidR="00247C3A" w:rsidRPr="00690A37" w:rsidRDefault="00247C3A" w:rsidP="002736C9">
      <w:pPr>
        <w:rPr>
          <w:sz w:val="24"/>
          <w:szCs w:val="24"/>
        </w:rPr>
      </w:pPr>
      <w:r w:rsidRPr="00690A37">
        <w:rPr>
          <w:sz w:val="24"/>
          <w:szCs w:val="24"/>
        </w:rPr>
        <w:t>Nomination procedures shall be determined by each individual institution. Supporting materials should include:</w:t>
      </w:r>
    </w:p>
    <w:p w:rsidR="00514A92" w:rsidRPr="00690A37" w:rsidRDefault="00514A92" w:rsidP="002736C9">
      <w:pPr>
        <w:rPr>
          <w:sz w:val="24"/>
          <w:szCs w:val="24"/>
        </w:rPr>
      </w:pPr>
    </w:p>
    <w:p w:rsidR="00030296" w:rsidRPr="00690A37" w:rsidRDefault="00030296" w:rsidP="00030296">
      <w:pPr>
        <w:pStyle w:val="ListParagraph"/>
        <w:numPr>
          <w:ilvl w:val="0"/>
          <w:numId w:val="30"/>
        </w:numPr>
        <w:tabs>
          <w:tab w:val="left" w:pos="-720"/>
          <w:tab w:val="left" w:pos="0"/>
        </w:tabs>
        <w:suppressAutoHyphens/>
        <w:spacing w:after="120"/>
        <w:rPr>
          <w:sz w:val="24"/>
          <w:szCs w:val="24"/>
        </w:rPr>
      </w:pPr>
      <w:r w:rsidRPr="00690A37">
        <w:rPr>
          <w:sz w:val="24"/>
          <w:szCs w:val="24"/>
        </w:rPr>
        <w:t>A nomination cover sheet (attached);</w:t>
      </w:r>
    </w:p>
    <w:p w:rsidR="0069178A" w:rsidRPr="00690A37" w:rsidRDefault="0069178A" w:rsidP="0069178A">
      <w:pPr>
        <w:pStyle w:val="ListParagraph"/>
        <w:tabs>
          <w:tab w:val="left" w:pos="-720"/>
          <w:tab w:val="left" w:pos="0"/>
        </w:tabs>
        <w:suppressAutoHyphens/>
        <w:spacing w:after="120"/>
        <w:rPr>
          <w:sz w:val="24"/>
          <w:szCs w:val="24"/>
        </w:rPr>
      </w:pPr>
    </w:p>
    <w:p w:rsidR="00030296" w:rsidRPr="00690A37" w:rsidRDefault="00030296" w:rsidP="00030296">
      <w:pPr>
        <w:pStyle w:val="ListParagraph"/>
        <w:numPr>
          <w:ilvl w:val="0"/>
          <w:numId w:val="30"/>
        </w:numPr>
        <w:tabs>
          <w:tab w:val="left" w:pos="-720"/>
          <w:tab w:val="left" w:pos="0"/>
        </w:tabs>
        <w:suppressAutoHyphens/>
        <w:spacing w:after="120"/>
        <w:rPr>
          <w:sz w:val="24"/>
          <w:szCs w:val="24"/>
        </w:rPr>
      </w:pPr>
      <w:r w:rsidRPr="00690A37">
        <w:rPr>
          <w:sz w:val="24"/>
          <w:szCs w:val="24"/>
        </w:rPr>
        <w:t>Nomination letter from Chancellor or Provost</w:t>
      </w:r>
      <w:r w:rsidRPr="00690A37">
        <w:rPr>
          <w:sz w:val="24"/>
          <w:szCs w:val="24"/>
          <w:u w:val="single"/>
        </w:rPr>
        <w:t xml:space="preserve"> </w:t>
      </w:r>
      <w:r w:rsidRPr="00690A37">
        <w:rPr>
          <w:sz w:val="24"/>
          <w:szCs w:val="24"/>
        </w:rPr>
        <w:t>addressing specifically the quality and nature of the department’s teaching as a unit;</w:t>
      </w:r>
    </w:p>
    <w:p w:rsidR="0069178A" w:rsidRPr="00690A37" w:rsidRDefault="0069178A" w:rsidP="0069178A">
      <w:pPr>
        <w:pStyle w:val="ListParagraph"/>
        <w:rPr>
          <w:sz w:val="24"/>
          <w:szCs w:val="24"/>
        </w:rPr>
      </w:pPr>
    </w:p>
    <w:p w:rsidR="0069178A" w:rsidRPr="00690A37" w:rsidRDefault="00030296" w:rsidP="0069178A">
      <w:pPr>
        <w:pStyle w:val="ListParagraph"/>
        <w:numPr>
          <w:ilvl w:val="0"/>
          <w:numId w:val="30"/>
        </w:numPr>
        <w:tabs>
          <w:tab w:val="left" w:pos="-720"/>
          <w:tab w:val="left" w:pos="0"/>
        </w:tabs>
        <w:suppressAutoHyphens/>
        <w:rPr>
          <w:i/>
          <w:sz w:val="24"/>
          <w:szCs w:val="24"/>
        </w:rPr>
      </w:pPr>
      <w:r w:rsidRPr="00690A37">
        <w:rPr>
          <w:sz w:val="24"/>
          <w:szCs w:val="24"/>
        </w:rPr>
        <w:t>A narrative statement of up to five pages from the department or program discussing its philosophy as a community of teacher-scholars, its goals and strategies, and how these have evolved over time.  This section should convey a sense of the discipline being taught by the department, its value to students, and/or the program’s goals for and assessment of student learning and development.  Be sure to include an introduction of your faculty and staff and their contributions to your department/program;</w:t>
      </w:r>
    </w:p>
    <w:p w:rsidR="0069178A" w:rsidRPr="00690A37" w:rsidRDefault="0069178A" w:rsidP="0069178A">
      <w:pPr>
        <w:pStyle w:val="ListParagraph"/>
        <w:tabs>
          <w:tab w:val="left" w:pos="-720"/>
          <w:tab w:val="left" w:pos="0"/>
        </w:tabs>
        <w:suppressAutoHyphens/>
        <w:rPr>
          <w:sz w:val="24"/>
          <w:szCs w:val="24"/>
        </w:rPr>
      </w:pPr>
    </w:p>
    <w:p w:rsidR="00030296" w:rsidRPr="00690A37" w:rsidRDefault="00030296" w:rsidP="0069178A">
      <w:pPr>
        <w:pStyle w:val="ListParagraph"/>
        <w:numPr>
          <w:ilvl w:val="0"/>
          <w:numId w:val="30"/>
        </w:numPr>
        <w:tabs>
          <w:tab w:val="left" w:pos="-720"/>
          <w:tab w:val="left" w:pos="0"/>
        </w:tabs>
        <w:suppressAutoHyphens/>
        <w:rPr>
          <w:sz w:val="24"/>
          <w:szCs w:val="24"/>
        </w:rPr>
      </w:pPr>
      <w:r w:rsidRPr="00690A37">
        <w:rPr>
          <w:sz w:val="24"/>
          <w:szCs w:val="24"/>
        </w:rPr>
        <w:t xml:space="preserve">A one-page fact profile of the department/program; </w:t>
      </w:r>
    </w:p>
    <w:p w:rsidR="0069178A" w:rsidRPr="00690A37" w:rsidRDefault="0069178A" w:rsidP="0069178A">
      <w:pPr>
        <w:pStyle w:val="ListParagraph"/>
        <w:rPr>
          <w:sz w:val="24"/>
          <w:szCs w:val="24"/>
        </w:rPr>
      </w:pPr>
    </w:p>
    <w:p w:rsidR="00030296" w:rsidRPr="00690A37" w:rsidRDefault="00030296" w:rsidP="0069178A">
      <w:pPr>
        <w:pStyle w:val="ListParagraph"/>
        <w:numPr>
          <w:ilvl w:val="0"/>
          <w:numId w:val="30"/>
        </w:numPr>
        <w:tabs>
          <w:tab w:val="left" w:pos="-720"/>
          <w:tab w:val="left" w:pos="0"/>
        </w:tabs>
        <w:suppressAutoHyphens/>
        <w:rPr>
          <w:sz w:val="24"/>
          <w:szCs w:val="24"/>
        </w:rPr>
      </w:pPr>
      <w:r w:rsidRPr="00690A37">
        <w:rPr>
          <w:sz w:val="24"/>
          <w:szCs w:val="24"/>
        </w:rPr>
        <w:t>Up to three letters of support from cu</w:t>
      </w:r>
      <w:r w:rsidR="009F56E5">
        <w:rPr>
          <w:sz w:val="24"/>
          <w:szCs w:val="24"/>
        </w:rPr>
        <w:t>rrent and/or past students; and</w:t>
      </w:r>
    </w:p>
    <w:p w:rsidR="0069178A" w:rsidRPr="00690A37" w:rsidRDefault="0069178A" w:rsidP="0069178A">
      <w:pPr>
        <w:pStyle w:val="ListParagraph"/>
        <w:rPr>
          <w:sz w:val="24"/>
          <w:szCs w:val="24"/>
        </w:rPr>
      </w:pPr>
    </w:p>
    <w:p w:rsidR="00030296" w:rsidRPr="00690A37" w:rsidRDefault="00030296" w:rsidP="00030296">
      <w:pPr>
        <w:pStyle w:val="ListParagraph"/>
        <w:numPr>
          <w:ilvl w:val="0"/>
          <w:numId w:val="30"/>
        </w:numPr>
        <w:tabs>
          <w:tab w:val="left" w:pos="-720"/>
          <w:tab w:val="left" w:pos="0"/>
        </w:tabs>
        <w:suppressAutoHyphens/>
        <w:spacing w:after="120"/>
        <w:rPr>
          <w:sz w:val="24"/>
          <w:szCs w:val="24"/>
        </w:rPr>
      </w:pPr>
      <w:r w:rsidRPr="00690A37">
        <w:rPr>
          <w:sz w:val="24"/>
          <w:szCs w:val="24"/>
        </w:rPr>
        <w:lastRenderedPageBreak/>
        <w:t xml:space="preserve">A well-organized, small set of items </w:t>
      </w:r>
      <w:r w:rsidRPr="00690A37">
        <w:rPr>
          <w:b/>
          <w:sz w:val="24"/>
          <w:szCs w:val="24"/>
        </w:rPr>
        <w:t>(no more than 10 pages)</w:t>
      </w:r>
      <w:r w:rsidRPr="00690A37">
        <w:rPr>
          <w:sz w:val="24"/>
          <w:szCs w:val="24"/>
        </w:rPr>
        <w:t xml:space="preserve"> that document the excellence of the department/program's teaching and its students' learning, its commitment to working together as a community of teacher-scholars, and its curriculum.  Some of these items might focus on identifying a particular teaching problem or issue and documenting how the department/program as a unit addressed the issue. </w:t>
      </w:r>
    </w:p>
    <w:p w:rsidR="00030296" w:rsidRDefault="00030296" w:rsidP="00030296">
      <w:pPr>
        <w:pStyle w:val="ListParagraph"/>
        <w:numPr>
          <w:ilvl w:val="1"/>
          <w:numId w:val="30"/>
        </w:numPr>
        <w:tabs>
          <w:tab w:val="left" w:pos="-720"/>
          <w:tab w:val="left" w:pos="0"/>
        </w:tabs>
        <w:suppressAutoHyphens/>
        <w:spacing w:after="120"/>
        <w:rPr>
          <w:sz w:val="24"/>
          <w:szCs w:val="24"/>
        </w:rPr>
      </w:pPr>
      <w:r w:rsidRPr="00690A37">
        <w:rPr>
          <w:sz w:val="24"/>
          <w:szCs w:val="24"/>
        </w:rPr>
        <w:t>Examples of items: course syllabi; annotated descriptions of academic programs/curricula; descriptions of methods for evaluating faculty and students, and of evaluation results and impact on program; selections from curriculum planning and/or program review documents; description</w:t>
      </w:r>
      <w:r w:rsidR="00EA6C47" w:rsidRPr="00690A37">
        <w:rPr>
          <w:sz w:val="24"/>
          <w:szCs w:val="24"/>
        </w:rPr>
        <w:t>s</w:t>
      </w:r>
      <w:r w:rsidRPr="00690A37">
        <w:rPr>
          <w:sz w:val="24"/>
          <w:szCs w:val="24"/>
        </w:rPr>
        <w:t xml:space="preserve"> of mentoring and advising programs; grants received for teaching/course/ curriculum development; and teaching awards, etc.</w:t>
      </w:r>
    </w:p>
    <w:p w:rsidR="00422E73" w:rsidRPr="00690A37" w:rsidRDefault="00030296" w:rsidP="00A56BD0">
      <w:pPr>
        <w:tabs>
          <w:tab w:val="left" w:pos="-720"/>
          <w:tab w:val="left" w:pos="0"/>
        </w:tabs>
        <w:suppressAutoHyphens/>
        <w:ind w:left="360" w:hanging="720"/>
        <w:rPr>
          <w:sz w:val="24"/>
          <w:szCs w:val="24"/>
        </w:rPr>
      </w:pPr>
      <w:r w:rsidRPr="00690A37">
        <w:rPr>
          <w:sz w:val="24"/>
          <w:szCs w:val="24"/>
        </w:rPr>
        <w:tab/>
      </w:r>
      <w:r w:rsidRPr="00690A37">
        <w:rPr>
          <w:sz w:val="24"/>
          <w:szCs w:val="24"/>
        </w:rPr>
        <w:tab/>
      </w:r>
      <w:r w:rsidRPr="00690A37">
        <w:rPr>
          <w:b/>
          <w:sz w:val="24"/>
          <w:szCs w:val="24"/>
        </w:rPr>
        <w:t>These items should include an explanation of why they were included in the dossier</w:t>
      </w:r>
      <w:r w:rsidRPr="00690A37">
        <w:rPr>
          <w:b/>
          <w:i/>
          <w:sz w:val="24"/>
          <w:szCs w:val="24"/>
        </w:rPr>
        <w:t>.</w:t>
      </w:r>
    </w:p>
    <w:p w:rsidR="009F56E5" w:rsidRDefault="009F56E5" w:rsidP="009F56E5">
      <w:pPr>
        <w:tabs>
          <w:tab w:val="left" w:pos="-720"/>
          <w:tab w:val="left" w:pos="0"/>
        </w:tabs>
        <w:suppressAutoHyphens/>
        <w:rPr>
          <w:sz w:val="24"/>
          <w:szCs w:val="24"/>
        </w:rPr>
      </w:pPr>
    </w:p>
    <w:p w:rsidR="009F56E5" w:rsidRPr="009F56E5" w:rsidRDefault="009F56E5" w:rsidP="009F56E5">
      <w:pPr>
        <w:tabs>
          <w:tab w:val="left" w:pos="-720"/>
          <w:tab w:val="left" w:pos="0"/>
        </w:tabs>
        <w:suppressAutoHyphens/>
        <w:rPr>
          <w:sz w:val="24"/>
          <w:szCs w:val="24"/>
        </w:rPr>
      </w:pPr>
      <w:r w:rsidRPr="009F56E5">
        <w:rPr>
          <w:sz w:val="24"/>
          <w:szCs w:val="24"/>
        </w:rPr>
        <w:t xml:space="preserve">All nomination materials are </w:t>
      </w:r>
      <w:r w:rsidR="0029470E">
        <w:rPr>
          <w:sz w:val="24"/>
          <w:szCs w:val="24"/>
        </w:rPr>
        <w:t xml:space="preserve">considered </w:t>
      </w:r>
      <w:r w:rsidRPr="009F56E5">
        <w:rPr>
          <w:sz w:val="24"/>
          <w:szCs w:val="24"/>
        </w:rPr>
        <w:t>confidential.</w:t>
      </w:r>
    </w:p>
    <w:p w:rsidR="004D3B21" w:rsidRDefault="004D3B21" w:rsidP="00A56BD0">
      <w:pPr>
        <w:tabs>
          <w:tab w:val="left" w:pos="-720"/>
          <w:tab w:val="left" w:pos="0"/>
        </w:tabs>
        <w:suppressAutoHyphens/>
        <w:ind w:left="360" w:hanging="720"/>
        <w:rPr>
          <w:sz w:val="24"/>
          <w:szCs w:val="24"/>
        </w:rPr>
      </w:pPr>
    </w:p>
    <w:p w:rsidR="00772791" w:rsidRPr="00FB2720" w:rsidRDefault="00772791" w:rsidP="00772791">
      <w:pPr>
        <w:pStyle w:val="Heading3"/>
        <w:rPr>
          <w:rFonts w:ascii="Times New Roman" w:hAnsi="Times New Roman"/>
        </w:rPr>
      </w:pPr>
      <w:r w:rsidRPr="00FB2720">
        <w:rPr>
          <w:rFonts w:ascii="Times New Roman" w:hAnsi="Times New Roman"/>
        </w:rPr>
        <w:t>The Award</w:t>
      </w:r>
    </w:p>
    <w:p w:rsidR="00772791" w:rsidRPr="00FB2720" w:rsidRDefault="00772791" w:rsidP="00772791">
      <w:pPr>
        <w:numPr>
          <w:ilvl w:val="0"/>
          <w:numId w:val="19"/>
        </w:numPr>
        <w:rPr>
          <w:sz w:val="24"/>
          <w:szCs w:val="24"/>
        </w:rPr>
      </w:pPr>
      <w:r w:rsidRPr="00FB2720">
        <w:rPr>
          <w:sz w:val="24"/>
          <w:szCs w:val="24"/>
        </w:rPr>
        <w:t>A $5,000 award designated to support program enhancements such as the staff recipients' professional development or program-related supplies and expenses, or for other activities approved by the staff recipients that enhance a university program or function;</w:t>
      </w:r>
    </w:p>
    <w:p w:rsidR="00772791" w:rsidRPr="00FB2720" w:rsidRDefault="00772791" w:rsidP="00772791">
      <w:pPr>
        <w:numPr>
          <w:ilvl w:val="0"/>
          <w:numId w:val="19"/>
        </w:numPr>
        <w:rPr>
          <w:sz w:val="24"/>
          <w:szCs w:val="24"/>
        </w:rPr>
      </w:pPr>
      <w:r w:rsidRPr="00FB2720">
        <w:rPr>
          <w:sz w:val="24"/>
          <w:szCs w:val="24"/>
        </w:rPr>
        <w:t xml:space="preserve">Public recognition at the </w:t>
      </w:r>
      <w:r w:rsidR="000F0A5B">
        <w:rPr>
          <w:b/>
          <w:sz w:val="24"/>
          <w:szCs w:val="24"/>
        </w:rPr>
        <w:t>April 5 2019</w:t>
      </w:r>
      <w:r w:rsidRPr="00E21CAB">
        <w:rPr>
          <w:b/>
          <w:sz w:val="24"/>
          <w:szCs w:val="24"/>
        </w:rPr>
        <w:t xml:space="preserve"> UW </w:t>
      </w:r>
      <w:r w:rsidR="00857458">
        <w:rPr>
          <w:b/>
          <w:sz w:val="24"/>
          <w:szCs w:val="24"/>
        </w:rPr>
        <w:t xml:space="preserve">System </w:t>
      </w:r>
      <w:r w:rsidRPr="00E21CAB">
        <w:rPr>
          <w:b/>
          <w:sz w:val="24"/>
          <w:szCs w:val="24"/>
        </w:rPr>
        <w:t>Board of Regents</w:t>
      </w:r>
      <w:r w:rsidRPr="00FB2720">
        <w:rPr>
          <w:sz w:val="24"/>
          <w:szCs w:val="24"/>
        </w:rPr>
        <w:t xml:space="preserve"> meeting </w:t>
      </w:r>
      <w:r>
        <w:rPr>
          <w:sz w:val="24"/>
          <w:szCs w:val="24"/>
        </w:rPr>
        <w:t xml:space="preserve">at </w:t>
      </w:r>
      <w:r w:rsidR="00466400">
        <w:rPr>
          <w:sz w:val="24"/>
          <w:szCs w:val="24"/>
        </w:rPr>
        <w:br/>
      </w:r>
      <w:r w:rsidRPr="00D36633">
        <w:rPr>
          <w:b/>
          <w:sz w:val="24"/>
          <w:szCs w:val="24"/>
        </w:rPr>
        <w:t>UW-</w:t>
      </w:r>
      <w:r w:rsidR="000F0A5B">
        <w:rPr>
          <w:b/>
          <w:sz w:val="24"/>
          <w:szCs w:val="24"/>
        </w:rPr>
        <w:t>Whitewater</w:t>
      </w:r>
      <w:r w:rsidR="008827D1">
        <w:rPr>
          <w:b/>
          <w:sz w:val="24"/>
          <w:szCs w:val="24"/>
        </w:rPr>
        <w:t>;</w:t>
      </w:r>
      <w:r w:rsidRPr="00FB2720">
        <w:rPr>
          <w:sz w:val="24"/>
          <w:szCs w:val="24"/>
        </w:rPr>
        <w:t xml:space="preserve"> and</w:t>
      </w:r>
    </w:p>
    <w:p w:rsidR="00772791" w:rsidRDefault="00772791" w:rsidP="00772791">
      <w:pPr>
        <w:numPr>
          <w:ilvl w:val="0"/>
          <w:numId w:val="19"/>
        </w:numPr>
        <w:rPr>
          <w:sz w:val="24"/>
          <w:szCs w:val="24"/>
        </w:rPr>
      </w:pPr>
      <w:r w:rsidRPr="00FB2720">
        <w:rPr>
          <w:sz w:val="24"/>
          <w:szCs w:val="24"/>
        </w:rPr>
        <w:t>News releases sent to state and local media.</w:t>
      </w:r>
    </w:p>
    <w:p w:rsidR="000F0A5B" w:rsidRPr="00FB2720" w:rsidRDefault="000F0A5B" w:rsidP="000F0A5B">
      <w:pPr>
        <w:ind w:left="360"/>
        <w:rPr>
          <w:sz w:val="24"/>
          <w:szCs w:val="24"/>
        </w:rPr>
      </w:pPr>
    </w:p>
    <w:sectPr w:rsidR="000F0A5B" w:rsidRPr="00FB2720" w:rsidSect="00A46F49">
      <w:headerReference w:type="default" r:id="rId13"/>
      <w:footerReference w:type="default" r:id="rId14"/>
      <w:headerReference w:type="first" r:id="rId15"/>
      <w:footerReference w:type="first" r:id="rId16"/>
      <w:pgSz w:w="12240" w:h="15840"/>
      <w:pgMar w:top="1440" w:right="1440" w:bottom="1440" w:left="1440" w:header="720" w:footer="106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9B" w:rsidRDefault="008E1B9B">
      <w:r>
        <w:separator/>
      </w:r>
    </w:p>
  </w:endnote>
  <w:endnote w:type="continuationSeparator" w:id="0">
    <w:p w:rsidR="008E1B9B" w:rsidRDefault="008E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B" w:rsidRDefault="008E1B9B">
    <w:pPr>
      <w:pStyle w:val="Footer"/>
      <w:framePr w:wrap="around" w:vAnchor="text" w:hAnchor="margin" w:xAlign="right" w:y="1"/>
      <w:rPr>
        <w:rStyle w:val="PageNumber"/>
      </w:rPr>
    </w:pPr>
  </w:p>
  <w:p w:rsidR="008E1B9B" w:rsidRDefault="008E1B9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B" w:rsidRDefault="008E1B9B">
    <w:pPr>
      <w:pStyle w:val="Footer"/>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9B" w:rsidRDefault="008E1B9B">
      <w:r>
        <w:separator/>
      </w:r>
    </w:p>
  </w:footnote>
  <w:footnote w:type="continuationSeparator" w:id="0">
    <w:p w:rsidR="008E1B9B" w:rsidRDefault="008E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B" w:rsidRDefault="008E1B9B">
    <w:pPr>
      <w:pStyle w:val="Header"/>
      <w:pBdr>
        <w:bottom w:val="single" w:sz="12"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B" w:rsidRDefault="008E1B9B">
    <w:pPr>
      <w:pStyle w:val="Header"/>
      <w:pBdr>
        <w:bottom w:val="sing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3EC6"/>
    <w:multiLevelType w:val="hybridMultilevel"/>
    <w:tmpl w:val="3DC88A6A"/>
    <w:lvl w:ilvl="0" w:tplc="A836B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4090"/>
    <w:multiLevelType w:val="singleLevel"/>
    <w:tmpl w:val="A9E08DD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9655E2"/>
    <w:multiLevelType w:val="hybridMultilevel"/>
    <w:tmpl w:val="0E7AD2E0"/>
    <w:lvl w:ilvl="0" w:tplc="F3C691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56E9F"/>
    <w:multiLevelType w:val="hybridMultilevel"/>
    <w:tmpl w:val="0F4ACB3C"/>
    <w:lvl w:ilvl="0" w:tplc="8CB687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A6C50"/>
    <w:multiLevelType w:val="hybridMultilevel"/>
    <w:tmpl w:val="56B28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D1B"/>
    <w:multiLevelType w:val="singleLevel"/>
    <w:tmpl w:val="55506324"/>
    <w:lvl w:ilvl="0">
      <w:start w:val="1"/>
      <w:numFmt w:val="decimal"/>
      <w:lvlText w:val="%1."/>
      <w:legacy w:legacy="1" w:legacySpace="120" w:legacyIndent="720"/>
      <w:lvlJc w:val="left"/>
      <w:pPr>
        <w:ind w:left="1080" w:hanging="720"/>
      </w:pPr>
    </w:lvl>
  </w:abstractNum>
  <w:abstractNum w:abstractNumId="7" w15:restartNumberingAfterBreak="0">
    <w:nsid w:val="18FE0802"/>
    <w:multiLevelType w:val="hybridMultilevel"/>
    <w:tmpl w:val="DA161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17015"/>
    <w:multiLevelType w:val="hybridMultilevel"/>
    <w:tmpl w:val="6262A144"/>
    <w:lvl w:ilvl="0" w:tplc="A836B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5BE6"/>
    <w:multiLevelType w:val="multilevel"/>
    <w:tmpl w:val="B1D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35EE1"/>
    <w:multiLevelType w:val="multilevel"/>
    <w:tmpl w:val="2F449F42"/>
    <w:lvl w:ilvl="0">
      <w:start w:val="1"/>
      <w:numFmt w:val="bullet"/>
      <w:pStyle w:val="Outline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2EB3FD9"/>
    <w:multiLevelType w:val="multilevel"/>
    <w:tmpl w:val="465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90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225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6D26F0"/>
    <w:multiLevelType w:val="hybridMultilevel"/>
    <w:tmpl w:val="EBE07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A2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886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04D33"/>
    <w:multiLevelType w:val="multilevel"/>
    <w:tmpl w:val="BA1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B7512"/>
    <w:multiLevelType w:val="singleLevel"/>
    <w:tmpl w:val="10BA1BC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ED2F8F"/>
    <w:multiLevelType w:val="singleLevel"/>
    <w:tmpl w:val="10BA1BCE"/>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B00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7E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DD5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19719F"/>
    <w:multiLevelType w:val="hybridMultilevel"/>
    <w:tmpl w:val="4D4CA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3891"/>
    <w:multiLevelType w:val="hybridMultilevel"/>
    <w:tmpl w:val="B9128818"/>
    <w:lvl w:ilvl="0" w:tplc="4A4A89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572F9"/>
    <w:multiLevelType w:val="multilevel"/>
    <w:tmpl w:val="175C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B4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297FDB"/>
    <w:multiLevelType w:val="singleLevel"/>
    <w:tmpl w:val="AE4077D8"/>
    <w:lvl w:ilvl="0">
      <w:start w:val="2"/>
      <w:numFmt w:val="decimal"/>
      <w:lvlText w:val="%1."/>
      <w:legacy w:legacy="1" w:legacySpace="0" w:legacyIndent="720"/>
      <w:lvlJc w:val="left"/>
      <w:pPr>
        <w:ind w:left="1080" w:hanging="720"/>
      </w:pPr>
    </w:lvl>
  </w:abstractNum>
  <w:abstractNum w:abstractNumId="28" w15:restartNumberingAfterBreak="0">
    <w:nsid w:val="7EC34BB2"/>
    <w:multiLevelType w:val="singleLevel"/>
    <w:tmpl w:val="10BA1BCE"/>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2"/>
  </w:num>
  <w:num w:numId="5">
    <w:abstractNumId w:val="22"/>
  </w:num>
  <w:num w:numId="6">
    <w:abstractNumId w:val="15"/>
  </w:num>
  <w:num w:numId="7">
    <w:abstractNumId w:val="20"/>
  </w:num>
  <w:num w:numId="8">
    <w:abstractNumId w:val="16"/>
  </w:num>
  <w:num w:numId="9">
    <w:abstractNumId w:val="13"/>
  </w:num>
  <w:num w:numId="10">
    <w:abstractNumId w:val="26"/>
  </w:num>
  <w:num w:numId="11">
    <w:abstractNumId w:val="21"/>
  </w:num>
  <w:num w:numId="12">
    <w:abstractNumId w:val="28"/>
  </w:num>
  <w:num w:numId="13">
    <w:abstractNumId w:val="18"/>
  </w:num>
  <w:num w:numId="14">
    <w:abstractNumId w:val="19"/>
  </w:num>
  <w:num w:numId="15">
    <w:abstractNumId w:val="11"/>
  </w:num>
  <w:num w:numId="16">
    <w:abstractNumId w:val="25"/>
  </w:num>
  <w:num w:numId="17">
    <w:abstractNumId w:val="17"/>
  </w:num>
  <w:num w:numId="18">
    <w:abstractNumId w:val="9"/>
  </w:num>
  <w:num w:numId="19">
    <w:abstractNumId w:val="24"/>
  </w:num>
  <w:num w:numId="20">
    <w:abstractNumId w:val="4"/>
  </w:num>
  <w:num w:numId="21">
    <w:abstractNumId w:val="3"/>
  </w:num>
  <w:num w:numId="22">
    <w:abstractNumId w:val="6"/>
  </w:num>
  <w:num w:numId="23">
    <w:abstractNumId w:val="27"/>
  </w:num>
  <w:num w:numId="24">
    <w:abstractNumId w:val="7"/>
  </w:num>
  <w:num w:numId="25">
    <w:abstractNumId w:val="23"/>
  </w:num>
  <w:num w:numId="26">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7">
    <w:abstractNumId w:val="5"/>
  </w:num>
  <w:num w:numId="28">
    <w:abstractNumId w:val="1"/>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44"/>
    <w:rsid w:val="00030296"/>
    <w:rsid w:val="00035730"/>
    <w:rsid w:val="000F0A5B"/>
    <w:rsid w:val="000F45AF"/>
    <w:rsid w:val="000F554A"/>
    <w:rsid w:val="001566A7"/>
    <w:rsid w:val="00170181"/>
    <w:rsid w:val="001932B6"/>
    <w:rsid w:val="001C58C3"/>
    <w:rsid w:val="001E54C4"/>
    <w:rsid w:val="001F2076"/>
    <w:rsid w:val="00210C48"/>
    <w:rsid w:val="00214B51"/>
    <w:rsid w:val="00247C3A"/>
    <w:rsid w:val="002736C9"/>
    <w:rsid w:val="00283D7B"/>
    <w:rsid w:val="0029470E"/>
    <w:rsid w:val="002A0C15"/>
    <w:rsid w:val="002C0D5E"/>
    <w:rsid w:val="002F67F9"/>
    <w:rsid w:val="003366EA"/>
    <w:rsid w:val="0035048F"/>
    <w:rsid w:val="00354F5E"/>
    <w:rsid w:val="003556FF"/>
    <w:rsid w:val="00372B50"/>
    <w:rsid w:val="003A7432"/>
    <w:rsid w:val="003F53AA"/>
    <w:rsid w:val="00422E73"/>
    <w:rsid w:val="00430C8A"/>
    <w:rsid w:val="00450844"/>
    <w:rsid w:val="00463EFF"/>
    <w:rsid w:val="00466400"/>
    <w:rsid w:val="004B3CE1"/>
    <w:rsid w:val="004B5E8C"/>
    <w:rsid w:val="004B7DD3"/>
    <w:rsid w:val="004D3B21"/>
    <w:rsid w:val="004E17F4"/>
    <w:rsid w:val="004F7672"/>
    <w:rsid w:val="00510BFA"/>
    <w:rsid w:val="00514A92"/>
    <w:rsid w:val="0052414A"/>
    <w:rsid w:val="005600D8"/>
    <w:rsid w:val="0056111A"/>
    <w:rsid w:val="00596D73"/>
    <w:rsid w:val="005A01FC"/>
    <w:rsid w:val="005D1A6F"/>
    <w:rsid w:val="00603E7F"/>
    <w:rsid w:val="00623FAC"/>
    <w:rsid w:val="00650AC9"/>
    <w:rsid w:val="00677E6D"/>
    <w:rsid w:val="00690A37"/>
    <w:rsid w:val="0069178A"/>
    <w:rsid w:val="006A0A34"/>
    <w:rsid w:val="006C2CC1"/>
    <w:rsid w:val="006D2516"/>
    <w:rsid w:val="00720A0C"/>
    <w:rsid w:val="0075160B"/>
    <w:rsid w:val="007532A3"/>
    <w:rsid w:val="00772791"/>
    <w:rsid w:val="007A3367"/>
    <w:rsid w:val="007C21AA"/>
    <w:rsid w:val="007E1CED"/>
    <w:rsid w:val="007F7022"/>
    <w:rsid w:val="00816208"/>
    <w:rsid w:val="00824A8F"/>
    <w:rsid w:val="00835A68"/>
    <w:rsid w:val="00835FF3"/>
    <w:rsid w:val="00841E25"/>
    <w:rsid w:val="00857458"/>
    <w:rsid w:val="008827D1"/>
    <w:rsid w:val="008B54A5"/>
    <w:rsid w:val="008E1B9B"/>
    <w:rsid w:val="00915CE9"/>
    <w:rsid w:val="0092421A"/>
    <w:rsid w:val="009326F2"/>
    <w:rsid w:val="009523C0"/>
    <w:rsid w:val="00967F0F"/>
    <w:rsid w:val="0098591C"/>
    <w:rsid w:val="00987593"/>
    <w:rsid w:val="009C3884"/>
    <w:rsid w:val="009C4E45"/>
    <w:rsid w:val="009C7F09"/>
    <w:rsid w:val="009F56E5"/>
    <w:rsid w:val="00A25854"/>
    <w:rsid w:val="00A34579"/>
    <w:rsid w:val="00A45947"/>
    <w:rsid w:val="00A46F49"/>
    <w:rsid w:val="00A53FCF"/>
    <w:rsid w:val="00A56BD0"/>
    <w:rsid w:val="00A830EB"/>
    <w:rsid w:val="00A90050"/>
    <w:rsid w:val="00AB022A"/>
    <w:rsid w:val="00AD1EFF"/>
    <w:rsid w:val="00AD3B75"/>
    <w:rsid w:val="00AD57D5"/>
    <w:rsid w:val="00B0364A"/>
    <w:rsid w:val="00B21769"/>
    <w:rsid w:val="00B35D65"/>
    <w:rsid w:val="00B40253"/>
    <w:rsid w:val="00B81D7A"/>
    <w:rsid w:val="00B8792B"/>
    <w:rsid w:val="00BA04E2"/>
    <w:rsid w:val="00BD3061"/>
    <w:rsid w:val="00C024B5"/>
    <w:rsid w:val="00C708C1"/>
    <w:rsid w:val="00C71803"/>
    <w:rsid w:val="00C93F6F"/>
    <w:rsid w:val="00CB5064"/>
    <w:rsid w:val="00CB6DEA"/>
    <w:rsid w:val="00CC33E7"/>
    <w:rsid w:val="00CE0428"/>
    <w:rsid w:val="00CF26D5"/>
    <w:rsid w:val="00D11F0D"/>
    <w:rsid w:val="00D26A6D"/>
    <w:rsid w:val="00D63187"/>
    <w:rsid w:val="00D93E2C"/>
    <w:rsid w:val="00DB02B7"/>
    <w:rsid w:val="00DD05D3"/>
    <w:rsid w:val="00DD20E9"/>
    <w:rsid w:val="00E333E7"/>
    <w:rsid w:val="00E4345E"/>
    <w:rsid w:val="00E774AB"/>
    <w:rsid w:val="00EA6C47"/>
    <w:rsid w:val="00EA7ADF"/>
    <w:rsid w:val="00EB54F1"/>
    <w:rsid w:val="00F17224"/>
    <w:rsid w:val="00F26ED9"/>
    <w:rsid w:val="00F80D51"/>
    <w:rsid w:val="00F905A1"/>
    <w:rsid w:val="00FA2043"/>
    <w:rsid w:val="00FA7539"/>
    <w:rsid w:val="00FD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B83C216-D32D-49C0-BE94-EEE40946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after="120"/>
      <w:outlineLvl w:val="0"/>
    </w:pPr>
    <w:rPr>
      <w:rFonts w:ascii="Arial" w:hAnsi="Arial"/>
      <w:b/>
      <w:kern w:val="28"/>
      <w:sz w:val="40"/>
    </w:rPr>
  </w:style>
  <w:style w:type="paragraph" w:styleId="Heading2">
    <w:name w:val="heading 2"/>
    <w:basedOn w:val="Normal"/>
    <w:next w:val="Normal"/>
    <w:qFormat/>
    <w:pPr>
      <w:keepNext/>
      <w:spacing w:before="120" w:after="120"/>
      <w:outlineLvl w:val="1"/>
    </w:pPr>
    <w:rPr>
      <w:rFonts w:ascii="Arial" w:hAnsi="Arial"/>
      <w:b/>
      <w:sz w:val="32"/>
    </w:rPr>
  </w:style>
  <w:style w:type="paragraph" w:styleId="Heading3">
    <w:name w:val="heading 3"/>
    <w:basedOn w:val="Normal"/>
    <w:next w:val="Normal"/>
    <w:qFormat/>
    <w:pPr>
      <w:keepNext/>
      <w:spacing w:before="120" w:after="120"/>
      <w:outlineLvl w:val="2"/>
    </w:pPr>
    <w:rPr>
      <w:rFonts w:ascii="Arial" w:hAnsi="Arial"/>
      <w:b/>
    </w:rPr>
  </w:style>
  <w:style w:type="paragraph" w:styleId="Heading4">
    <w:name w:val="heading 4"/>
    <w:basedOn w:val="Normal"/>
    <w:next w:val="Normal"/>
    <w:qFormat/>
    <w:rsid w:val="00247C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utlinebullet">
    <w:name w:val="Outline bullet"/>
    <w:basedOn w:val="Normal"/>
    <w:pPr>
      <w:numPr>
        <w:numId w:val="1"/>
      </w:numPr>
    </w:pPr>
  </w:style>
  <w:style w:type="paragraph" w:styleId="BodyText">
    <w:name w:val="Body Text"/>
    <w:basedOn w:val="Normal"/>
    <w:pPr>
      <w:tabs>
        <w:tab w:val="left" w:pos="720"/>
        <w:tab w:val="left" w:pos="1440"/>
        <w:tab w:val="left" w:pos="5760"/>
      </w:tabs>
    </w:pPr>
    <w:rPr>
      <w:sz w:val="24"/>
    </w:rPr>
  </w:style>
  <w:style w:type="character" w:styleId="Hyperlink">
    <w:name w:val="Hyperlink"/>
    <w:basedOn w:val="DefaultParagraphFont"/>
    <w:rPr>
      <w:color w:val="0000FF"/>
      <w:u w:val="single"/>
    </w:rPr>
  </w:style>
  <w:style w:type="paragraph" w:styleId="BodyText2">
    <w:name w:val="Body Text 2"/>
    <w:basedOn w:val="Normal"/>
    <w:pPr>
      <w:ind w:right="-90"/>
    </w:pPr>
  </w:style>
  <w:style w:type="paragraph" w:styleId="BalloonText">
    <w:name w:val="Balloon Text"/>
    <w:basedOn w:val="Normal"/>
    <w:semiHidden/>
    <w:rsid w:val="00A46F49"/>
    <w:rPr>
      <w:rFonts w:ascii="Tahoma" w:hAnsi="Tahoma" w:cs="Tahoma"/>
      <w:sz w:val="16"/>
      <w:szCs w:val="16"/>
    </w:rPr>
  </w:style>
  <w:style w:type="paragraph" w:styleId="NormalWeb">
    <w:name w:val="Normal (Web)"/>
    <w:basedOn w:val="Normal"/>
    <w:rsid w:val="00247C3A"/>
    <w:pPr>
      <w:spacing w:before="100" w:beforeAutospacing="1" w:after="100" w:afterAutospacing="1"/>
    </w:pPr>
    <w:rPr>
      <w:sz w:val="24"/>
      <w:szCs w:val="24"/>
    </w:rPr>
  </w:style>
  <w:style w:type="paragraph" w:styleId="DocumentMap">
    <w:name w:val="Document Map"/>
    <w:basedOn w:val="Normal"/>
    <w:semiHidden/>
    <w:rsid w:val="00824A8F"/>
    <w:pPr>
      <w:shd w:val="clear" w:color="auto" w:fill="000080"/>
    </w:pPr>
    <w:rPr>
      <w:rFonts w:ascii="Tahoma" w:hAnsi="Tahoma" w:cs="Tahoma"/>
      <w:sz w:val="20"/>
    </w:rPr>
  </w:style>
  <w:style w:type="paragraph" w:styleId="TOAHeading">
    <w:name w:val="toa heading"/>
    <w:basedOn w:val="Normal"/>
    <w:next w:val="Normal"/>
    <w:rsid w:val="00FA7539"/>
    <w:pPr>
      <w:tabs>
        <w:tab w:val="right" w:pos="9360"/>
      </w:tabs>
      <w:suppressAutoHyphens/>
      <w:overflowPunct w:val="0"/>
      <w:autoSpaceDE w:val="0"/>
      <w:autoSpaceDN w:val="0"/>
      <w:adjustRightInd w:val="0"/>
      <w:textAlignment w:val="baseline"/>
    </w:pPr>
    <w:rPr>
      <w:rFonts w:ascii="CG Times" w:hAnsi="CG Times"/>
    </w:rPr>
  </w:style>
  <w:style w:type="paragraph" w:styleId="ListParagraph">
    <w:name w:val="List Paragraph"/>
    <w:basedOn w:val="Normal"/>
    <w:uiPriority w:val="34"/>
    <w:qFormat/>
    <w:rsid w:val="00FA7539"/>
    <w:pPr>
      <w:ind w:left="720"/>
      <w:contextualSpacing/>
    </w:pPr>
  </w:style>
  <w:style w:type="character" w:styleId="CommentReference">
    <w:name w:val="annotation reference"/>
    <w:basedOn w:val="DefaultParagraphFont"/>
    <w:rsid w:val="00430C8A"/>
    <w:rPr>
      <w:sz w:val="16"/>
      <w:szCs w:val="16"/>
    </w:rPr>
  </w:style>
  <w:style w:type="paragraph" w:styleId="CommentText">
    <w:name w:val="annotation text"/>
    <w:basedOn w:val="Normal"/>
    <w:link w:val="CommentTextChar"/>
    <w:rsid w:val="00430C8A"/>
    <w:rPr>
      <w:sz w:val="20"/>
    </w:rPr>
  </w:style>
  <w:style w:type="character" w:customStyle="1" w:styleId="CommentTextChar">
    <w:name w:val="Comment Text Char"/>
    <w:basedOn w:val="DefaultParagraphFont"/>
    <w:link w:val="CommentText"/>
    <w:rsid w:val="00430C8A"/>
  </w:style>
  <w:style w:type="paragraph" w:styleId="CommentSubject">
    <w:name w:val="annotation subject"/>
    <w:basedOn w:val="CommentText"/>
    <w:next w:val="CommentText"/>
    <w:link w:val="CommentSubjectChar"/>
    <w:rsid w:val="00430C8A"/>
    <w:rPr>
      <w:b/>
      <w:bCs/>
    </w:rPr>
  </w:style>
  <w:style w:type="character" w:customStyle="1" w:styleId="CommentSubjectChar">
    <w:name w:val="Comment Subject Char"/>
    <w:basedOn w:val="CommentTextChar"/>
    <w:link w:val="CommentSubject"/>
    <w:rsid w:val="00430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carranza@uws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i@uwsa.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arranza@uwsa.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pei@uwsa.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s\DO%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094F6A-E0FF-467E-AA21-C06F64AEF12D}">
  <ds:schemaRefs>
    <ds:schemaRef ds:uri="http://schemas.openxmlformats.org/officeDocument/2006/bibliography"/>
  </ds:schemaRefs>
</ds:datastoreItem>
</file>

<file path=customXml/itemProps2.xml><?xml version="1.0" encoding="utf-8"?>
<ds:datastoreItem xmlns:ds="http://schemas.openxmlformats.org/officeDocument/2006/customXml" ds:itemID="{78A5924E-EF63-476C-B129-25CCAA6DAACD}"/>
</file>

<file path=customXml/itemProps3.xml><?xml version="1.0" encoding="utf-8"?>
<ds:datastoreItem xmlns:ds="http://schemas.openxmlformats.org/officeDocument/2006/customXml" ds:itemID="{7DB25F02-16D0-4B67-AE06-74C52336DF2B}"/>
</file>

<file path=customXml/itemProps4.xml><?xml version="1.0" encoding="utf-8"?>
<ds:datastoreItem xmlns:ds="http://schemas.openxmlformats.org/officeDocument/2006/customXml" ds:itemID="{39C8D145-469F-4FCA-A2E7-48CD295483BD}"/>
</file>

<file path=docProps/app.xml><?xml version="1.0" encoding="utf-8"?>
<Properties xmlns="http://schemas.openxmlformats.org/officeDocument/2006/extended-properties" xmlns:vt="http://schemas.openxmlformats.org/officeDocument/2006/docPropsVTypes">
  <Template>DO Memo</Template>
  <TotalTime>8</TotalTime>
  <Pages>6</Pages>
  <Words>1808</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Call for AS Regents Awards nominations</vt:lpstr>
    </vt:vector>
  </TitlesOfParts>
  <Company>UWSA</Company>
  <LinksUpToDate>false</LinksUpToDate>
  <CharactersWithSpaces>12818</CharactersWithSpaces>
  <SharedDoc>false</SharedDoc>
  <HLinks>
    <vt:vector size="18" baseType="variant">
      <vt:variant>
        <vt:i4>8192043</vt:i4>
      </vt:variant>
      <vt:variant>
        <vt:i4>6</vt:i4>
      </vt:variant>
      <vt:variant>
        <vt:i4>0</vt:i4>
      </vt:variant>
      <vt:variant>
        <vt:i4>5</vt:i4>
      </vt:variant>
      <vt:variant>
        <vt:lpwstr>mailto:Sal</vt:lpwstr>
      </vt:variant>
      <vt:variant>
        <vt:lpwstr/>
      </vt:variant>
      <vt:variant>
        <vt:i4>5374065</vt:i4>
      </vt:variant>
      <vt:variant>
        <vt:i4>3</vt:i4>
      </vt:variant>
      <vt:variant>
        <vt:i4>0</vt:i4>
      </vt:variant>
      <vt:variant>
        <vt:i4>5</vt:i4>
      </vt:variant>
      <vt:variant>
        <vt:lpwstr>mailto:vpacad@uwsa.edu</vt:lpwstr>
      </vt:variant>
      <vt:variant>
        <vt:lpwstr/>
      </vt:variant>
      <vt:variant>
        <vt:i4>8192043</vt:i4>
      </vt:variant>
      <vt:variant>
        <vt:i4>0</vt:i4>
      </vt:variant>
      <vt:variant>
        <vt:i4>0</vt:i4>
      </vt:variant>
      <vt:variant>
        <vt:i4>5</vt:i4>
      </vt:variant>
      <vt:variant>
        <vt:lpwstr>mailto:Sal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AS Regents Awards nominations</dc:title>
  <dc:creator>E. Brian Hutchinson</dc:creator>
  <cp:lastModifiedBy>Sal Carranza</cp:lastModifiedBy>
  <cp:revision>3</cp:revision>
  <cp:lastPrinted>2013-10-28T20:20:00Z</cp:lastPrinted>
  <dcterms:created xsi:type="dcterms:W3CDTF">2018-10-26T16:16:00Z</dcterms:created>
  <dcterms:modified xsi:type="dcterms:W3CDTF">2018-10-26T16:23:00Z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0x0101008878D8433BC80C4BA4BAF3E6DB597BC4</vt:lpwstr>
  </property>
</Properties>
</file>