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F4953" w14:textId="77777777" w:rsidR="005F00A4" w:rsidRPr="005F00A4" w:rsidRDefault="005F00A4" w:rsidP="005F00A4">
      <w:pPr>
        <w:spacing w:after="0" w:line="240" w:lineRule="auto"/>
        <w:rPr>
          <w:sz w:val="12"/>
        </w:rPr>
      </w:pPr>
    </w:p>
    <w:tbl>
      <w:tblPr>
        <w:tblStyle w:val="TableGrid"/>
        <w:tblW w:w="0" w:type="auto"/>
        <w:tblLook w:val="04A0" w:firstRow="1" w:lastRow="0" w:firstColumn="1" w:lastColumn="0" w:noHBand="0" w:noVBand="1"/>
      </w:tblPr>
      <w:tblGrid>
        <w:gridCol w:w="1638"/>
        <w:gridCol w:w="9450"/>
      </w:tblGrid>
      <w:tr w:rsidR="000A126D" w:rsidRPr="00795C08" w14:paraId="6E1BF158" w14:textId="77777777" w:rsidTr="005F00A4">
        <w:tc>
          <w:tcPr>
            <w:tcW w:w="1638" w:type="dxa"/>
            <w:tcBorders>
              <w:bottom w:val="single" w:sz="4" w:space="0" w:color="auto"/>
            </w:tcBorders>
          </w:tcPr>
          <w:p w14:paraId="6E1BF156" w14:textId="77777777" w:rsidR="000A126D" w:rsidRPr="005F00A4" w:rsidRDefault="000A126D" w:rsidP="005F00A4">
            <w:pPr>
              <w:jc w:val="right"/>
              <w:rPr>
                <w:rFonts w:cstheme="minorHAnsi"/>
                <w:b/>
                <w:sz w:val="21"/>
                <w:szCs w:val="21"/>
              </w:rPr>
            </w:pPr>
            <w:r w:rsidRPr="005F00A4">
              <w:rPr>
                <w:rFonts w:cstheme="minorHAnsi"/>
                <w:b/>
                <w:sz w:val="21"/>
                <w:szCs w:val="21"/>
              </w:rPr>
              <w:t>GEP Category:</w:t>
            </w:r>
          </w:p>
        </w:tc>
        <w:tc>
          <w:tcPr>
            <w:tcW w:w="9450" w:type="dxa"/>
            <w:tcBorders>
              <w:bottom w:val="single" w:sz="4" w:space="0" w:color="auto"/>
            </w:tcBorders>
          </w:tcPr>
          <w:p w14:paraId="6E1BF157" w14:textId="77777777" w:rsidR="000A126D" w:rsidRPr="005F00A4" w:rsidRDefault="000A126D" w:rsidP="005F00A4">
            <w:pPr>
              <w:ind w:left="72"/>
              <w:rPr>
                <w:rFonts w:cstheme="minorHAnsi"/>
                <w:i/>
                <w:sz w:val="21"/>
                <w:szCs w:val="21"/>
              </w:rPr>
            </w:pPr>
            <w:r w:rsidRPr="005F00A4">
              <w:rPr>
                <w:rFonts w:cstheme="minorHAnsi"/>
                <w:i/>
                <w:sz w:val="21"/>
                <w:szCs w:val="21"/>
              </w:rPr>
              <w:t>Upon completing this requirement, students will be able to:</w:t>
            </w:r>
          </w:p>
        </w:tc>
      </w:tr>
      <w:tr w:rsidR="000A126D" w:rsidRPr="005F00A4" w14:paraId="6E1BF15A" w14:textId="77777777" w:rsidTr="005F00A4">
        <w:tc>
          <w:tcPr>
            <w:tcW w:w="11088" w:type="dxa"/>
            <w:gridSpan w:val="2"/>
            <w:shd w:val="clear" w:color="auto" w:fill="BFBFBF" w:themeFill="background1" w:themeFillShade="BF"/>
          </w:tcPr>
          <w:p w14:paraId="6E1BF159" w14:textId="7BA5F017" w:rsidR="000A126D" w:rsidRPr="005F00A4" w:rsidRDefault="000A126D" w:rsidP="000A126D">
            <w:pPr>
              <w:pStyle w:val="PlainText"/>
              <w:rPr>
                <w:rFonts w:asciiTheme="minorHAnsi" w:hAnsiTheme="minorHAnsi" w:cstheme="minorHAnsi"/>
                <w:b/>
              </w:rPr>
            </w:pPr>
            <w:r w:rsidRPr="005F00A4">
              <w:rPr>
                <w:rFonts w:asciiTheme="minorHAnsi" w:hAnsiTheme="minorHAnsi" w:cstheme="minorHAnsi"/>
                <w:b/>
              </w:rPr>
              <w:t>Foundation</w:t>
            </w:r>
            <w:r w:rsidR="007E14F1" w:rsidRPr="005F00A4">
              <w:rPr>
                <w:rFonts w:asciiTheme="minorHAnsi" w:hAnsiTheme="minorHAnsi" w:cstheme="minorHAnsi"/>
                <w:b/>
              </w:rPr>
              <w:t xml:space="preserve"> Level</w:t>
            </w:r>
            <w:r w:rsidRPr="005F00A4">
              <w:rPr>
                <w:rFonts w:asciiTheme="minorHAnsi" w:hAnsiTheme="minorHAnsi" w:cstheme="minorHAnsi"/>
                <w:b/>
              </w:rPr>
              <w:t>:</w:t>
            </w:r>
          </w:p>
        </w:tc>
      </w:tr>
      <w:tr w:rsidR="000A126D" w:rsidRPr="00795C08" w14:paraId="6E1BF162" w14:textId="77777777" w:rsidTr="005F00A4">
        <w:tc>
          <w:tcPr>
            <w:tcW w:w="1638" w:type="dxa"/>
          </w:tcPr>
          <w:p w14:paraId="6E1BF15B" w14:textId="77777777" w:rsidR="000A126D" w:rsidRPr="005F00A4" w:rsidRDefault="000A126D" w:rsidP="005F00A4">
            <w:pPr>
              <w:jc w:val="right"/>
              <w:rPr>
                <w:rFonts w:cstheme="minorHAnsi"/>
                <w:b/>
                <w:sz w:val="21"/>
                <w:szCs w:val="21"/>
              </w:rPr>
            </w:pPr>
            <w:r w:rsidRPr="005F00A4">
              <w:rPr>
                <w:rFonts w:cstheme="minorHAnsi"/>
                <w:b/>
                <w:sz w:val="21"/>
                <w:szCs w:val="21"/>
              </w:rPr>
              <w:t>First Year Seminar</w:t>
            </w:r>
          </w:p>
        </w:tc>
        <w:tc>
          <w:tcPr>
            <w:tcW w:w="9450" w:type="dxa"/>
          </w:tcPr>
          <w:p w14:paraId="6E1BF15C"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Describe the importance of a liberal education and the ways in which academic study is structured at UWSP. </w:t>
            </w:r>
          </w:p>
          <w:p w14:paraId="6E1BF15D"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Describe the importance of critical thinking and information literacy and apply the associated skills. </w:t>
            </w:r>
          </w:p>
          <w:p w14:paraId="6E1BF15E"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Identify and apply appropriate note-taking, test-taking, and time-management strategies to their academic studies. </w:t>
            </w:r>
          </w:p>
          <w:p w14:paraId="6E1BF15F"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Describe the importance of co-curricular involvement and how it enhances their academic study at UWSP. </w:t>
            </w:r>
          </w:p>
          <w:p w14:paraId="6E1BF160"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Identify and utilize UWSP programs, resources, and services that will support their academic studies and co-curricular involvement. </w:t>
            </w:r>
          </w:p>
          <w:p w14:paraId="6E1BF161"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Develop a plan that demonstrates their responsibility for their own education, specifically how it relates to their interests, abilities, career choices, and personal development. </w:t>
            </w:r>
          </w:p>
        </w:tc>
      </w:tr>
      <w:tr w:rsidR="000A126D" w:rsidRPr="00795C08" w14:paraId="6E1BF167" w14:textId="77777777" w:rsidTr="005F00A4">
        <w:tc>
          <w:tcPr>
            <w:tcW w:w="1638" w:type="dxa"/>
          </w:tcPr>
          <w:p w14:paraId="6E1BF163" w14:textId="77777777" w:rsidR="000A126D" w:rsidRPr="005F00A4" w:rsidRDefault="000A126D" w:rsidP="005F00A4">
            <w:pPr>
              <w:jc w:val="right"/>
              <w:rPr>
                <w:rFonts w:cstheme="minorHAnsi"/>
                <w:b/>
                <w:sz w:val="21"/>
                <w:szCs w:val="21"/>
              </w:rPr>
            </w:pPr>
            <w:r w:rsidRPr="005F00A4">
              <w:rPr>
                <w:rFonts w:cstheme="minorHAnsi"/>
                <w:b/>
                <w:sz w:val="21"/>
                <w:szCs w:val="21"/>
              </w:rPr>
              <w:t>Written Communication</w:t>
            </w:r>
          </w:p>
        </w:tc>
        <w:tc>
          <w:tcPr>
            <w:tcW w:w="9450" w:type="dxa"/>
          </w:tcPr>
          <w:p w14:paraId="6E1BF164"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Identify basic components and elements that shape successful writing such as topic, purpose, genre, and audience. </w:t>
            </w:r>
          </w:p>
          <w:p w14:paraId="6E1BF165"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Compose an articulate, grammatically correct, and organized piece of writing with properly documented and supported ideas, evidence, and information suitable to the topic, purpose, and audience. </w:t>
            </w:r>
          </w:p>
          <w:p w14:paraId="6E1BF166"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Critique their own and others’ writing to provide effective and useful feedback to improve their communication. </w:t>
            </w:r>
          </w:p>
        </w:tc>
      </w:tr>
      <w:tr w:rsidR="000A126D" w:rsidRPr="00795C08" w14:paraId="6E1BF16C" w14:textId="77777777" w:rsidTr="005F00A4">
        <w:tc>
          <w:tcPr>
            <w:tcW w:w="1638" w:type="dxa"/>
          </w:tcPr>
          <w:p w14:paraId="6E1BF168" w14:textId="77777777" w:rsidR="000A126D" w:rsidRPr="005F00A4" w:rsidRDefault="000A126D" w:rsidP="005F00A4">
            <w:pPr>
              <w:jc w:val="right"/>
              <w:rPr>
                <w:rFonts w:cstheme="minorHAnsi"/>
                <w:b/>
                <w:sz w:val="21"/>
                <w:szCs w:val="21"/>
              </w:rPr>
            </w:pPr>
            <w:r w:rsidRPr="005F00A4">
              <w:rPr>
                <w:rFonts w:cstheme="minorHAnsi"/>
                <w:b/>
                <w:sz w:val="21"/>
                <w:szCs w:val="21"/>
              </w:rPr>
              <w:t>Oral Communication</w:t>
            </w:r>
          </w:p>
        </w:tc>
        <w:tc>
          <w:tcPr>
            <w:tcW w:w="9450" w:type="dxa"/>
          </w:tcPr>
          <w:p w14:paraId="6E1BF169"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Identify basic components and elements that shape successful oral presentation such as topic, purpose, genre, composure, and audience. </w:t>
            </w:r>
          </w:p>
          <w:p w14:paraId="6E1BF16A"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Compose and deliver an articulate, grammatically correct and organized oral presentation using appropriate communication technologies as well as properly documented and supported ideas, evidence, and information suitable to the topic, purpose, and audience. </w:t>
            </w:r>
          </w:p>
          <w:p w14:paraId="6E1BF16B"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Critique their own and others’ speaking to provide effective and useful feedback to improve their communication.</w:t>
            </w:r>
          </w:p>
        </w:tc>
      </w:tr>
      <w:tr w:rsidR="000A126D" w:rsidRPr="00795C08" w14:paraId="6E1BF171" w14:textId="77777777" w:rsidTr="005F00A4">
        <w:tc>
          <w:tcPr>
            <w:tcW w:w="1638" w:type="dxa"/>
          </w:tcPr>
          <w:p w14:paraId="6E1BF16D" w14:textId="77777777" w:rsidR="000A126D" w:rsidRPr="005F00A4" w:rsidRDefault="000A126D" w:rsidP="005F00A4">
            <w:pPr>
              <w:jc w:val="right"/>
              <w:rPr>
                <w:rFonts w:cstheme="minorHAnsi"/>
                <w:b/>
                <w:sz w:val="21"/>
                <w:szCs w:val="21"/>
              </w:rPr>
            </w:pPr>
            <w:r w:rsidRPr="005F00A4">
              <w:rPr>
                <w:rFonts w:cstheme="minorHAnsi"/>
                <w:b/>
                <w:sz w:val="21"/>
                <w:szCs w:val="21"/>
              </w:rPr>
              <w:t>Quantitative Literacy</w:t>
            </w:r>
          </w:p>
        </w:tc>
        <w:tc>
          <w:tcPr>
            <w:tcW w:w="9450" w:type="dxa"/>
          </w:tcPr>
          <w:p w14:paraId="6E1BF16E"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Select, analyze, and interpret appropriate numerical data used in everyday life in numerical and graphical format. </w:t>
            </w:r>
          </w:p>
          <w:p w14:paraId="6E1BF16F"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Identify and apply appropriate strategies of quantitative problem solving in theoretical and practical applications. </w:t>
            </w:r>
          </w:p>
          <w:p w14:paraId="6E1BF170"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Construct a conclusion using quantitative justification.</w:t>
            </w:r>
          </w:p>
        </w:tc>
      </w:tr>
      <w:tr w:rsidR="000A126D" w:rsidRPr="00795C08" w14:paraId="6E1BF176" w14:textId="77777777" w:rsidTr="005F00A4">
        <w:tc>
          <w:tcPr>
            <w:tcW w:w="1638" w:type="dxa"/>
            <w:tcBorders>
              <w:bottom w:val="single" w:sz="4" w:space="0" w:color="auto"/>
            </w:tcBorders>
          </w:tcPr>
          <w:p w14:paraId="6E1BF172" w14:textId="77777777" w:rsidR="000A126D" w:rsidRPr="005F00A4" w:rsidRDefault="000A126D" w:rsidP="005F00A4">
            <w:pPr>
              <w:jc w:val="right"/>
              <w:rPr>
                <w:rFonts w:cstheme="minorHAnsi"/>
                <w:b/>
                <w:sz w:val="21"/>
                <w:szCs w:val="21"/>
              </w:rPr>
            </w:pPr>
            <w:r w:rsidRPr="005F00A4">
              <w:rPr>
                <w:rFonts w:cstheme="minorHAnsi"/>
                <w:b/>
                <w:sz w:val="21"/>
                <w:szCs w:val="21"/>
              </w:rPr>
              <w:t>Wellness</w:t>
            </w:r>
          </w:p>
        </w:tc>
        <w:tc>
          <w:tcPr>
            <w:tcW w:w="9450" w:type="dxa"/>
            <w:tcBorders>
              <w:bottom w:val="single" w:sz="4" w:space="0" w:color="auto"/>
            </w:tcBorders>
          </w:tcPr>
          <w:p w14:paraId="6E1BF173"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 xml:space="preserve">Identify the seven dimensions of wellness. </w:t>
            </w:r>
          </w:p>
          <w:p w14:paraId="6E1BF174" w14:textId="171772D0"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Recognize the interaction between each dimension of wellness and their overall impact on personal, nati</w:t>
            </w:r>
            <w:r w:rsidR="005F00A4">
              <w:rPr>
                <w:rFonts w:asciiTheme="minorHAnsi" w:hAnsiTheme="minorHAnsi" w:cstheme="minorHAnsi"/>
              </w:rPr>
              <w:t>onal and global health and well-</w:t>
            </w:r>
            <w:r w:rsidRPr="005F00A4">
              <w:rPr>
                <w:rFonts w:asciiTheme="minorHAnsi" w:hAnsiTheme="minorHAnsi" w:cstheme="minorHAnsi"/>
              </w:rPr>
              <w:t xml:space="preserve">being. </w:t>
            </w:r>
          </w:p>
          <w:p w14:paraId="6E1BF175" w14:textId="77777777" w:rsidR="000A126D" w:rsidRPr="005F00A4" w:rsidRDefault="000A126D" w:rsidP="005F00A4">
            <w:pPr>
              <w:pStyle w:val="PlainText"/>
              <w:numPr>
                <w:ilvl w:val="0"/>
                <w:numId w:val="19"/>
              </w:numPr>
              <w:ind w:left="252" w:hanging="180"/>
              <w:rPr>
                <w:rFonts w:asciiTheme="minorHAnsi" w:hAnsiTheme="minorHAnsi" w:cstheme="minorHAnsi"/>
              </w:rPr>
            </w:pPr>
            <w:r w:rsidRPr="005F00A4">
              <w:rPr>
                <w:rFonts w:asciiTheme="minorHAnsi" w:hAnsiTheme="minorHAnsi" w:cstheme="minorHAnsi"/>
              </w:rPr>
              <w:t>Develop an individual plan for healthy living that demonstrates an understanding of the principles of wellness.</w:t>
            </w:r>
          </w:p>
        </w:tc>
      </w:tr>
      <w:tr w:rsidR="000A126D" w:rsidRPr="00795C08" w14:paraId="6E1BF178" w14:textId="77777777" w:rsidTr="005F00A4">
        <w:tc>
          <w:tcPr>
            <w:tcW w:w="11088" w:type="dxa"/>
            <w:gridSpan w:val="2"/>
            <w:shd w:val="clear" w:color="auto" w:fill="BFBFBF" w:themeFill="background1" w:themeFillShade="BF"/>
          </w:tcPr>
          <w:p w14:paraId="6E1BF177" w14:textId="77777777" w:rsidR="000A126D" w:rsidRPr="005F00A4" w:rsidRDefault="000A126D">
            <w:pPr>
              <w:rPr>
                <w:rFonts w:cstheme="minorHAnsi"/>
                <w:b/>
                <w:sz w:val="21"/>
                <w:szCs w:val="21"/>
              </w:rPr>
            </w:pPr>
            <w:r w:rsidRPr="005F00A4">
              <w:rPr>
                <w:rFonts w:cstheme="minorHAnsi"/>
                <w:b/>
                <w:sz w:val="21"/>
                <w:szCs w:val="21"/>
              </w:rPr>
              <w:t>Investigation</w:t>
            </w:r>
            <w:r w:rsidR="00795C08" w:rsidRPr="005F00A4">
              <w:rPr>
                <w:rFonts w:cstheme="minorHAnsi"/>
                <w:b/>
                <w:sz w:val="21"/>
                <w:szCs w:val="21"/>
              </w:rPr>
              <w:t xml:space="preserve"> Level</w:t>
            </w:r>
            <w:r w:rsidRPr="005F00A4">
              <w:rPr>
                <w:rFonts w:cstheme="minorHAnsi"/>
                <w:b/>
                <w:sz w:val="21"/>
                <w:szCs w:val="21"/>
              </w:rPr>
              <w:t>:</w:t>
            </w:r>
          </w:p>
        </w:tc>
      </w:tr>
      <w:tr w:rsidR="000A126D" w:rsidRPr="00795C08" w14:paraId="6E1BF17D" w14:textId="77777777" w:rsidTr="005F00A4">
        <w:tc>
          <w:tcPr>
            <w:tcW w:w="1638" w:type="dxa"/>
          </w:tcPr>
          <w:p w14:paraId="6E1BF179" w14:textId="77777777" w:rsidR="000A126D" w:rsidRPr="005F00A4" w:rsidRDefault="000A126D" w:rsidP="005F00A4">
            <w:pPr>
              <w:jc w:val="right"/>
              <w:rPr>
                <w:rFonts w:cstheme="minorHAnsi"/>
                <w:b/>
                <w:sz w:val="21"/>
                <w:szCs w:val="21"/>
              </w:rPr>
            </w:pPr>
            <w:r w:rsidRPr="005F00A4">
              <w:rPr>
                <w:rFonts w:cstheme="minorHAnsi"/>
                <w:b/>
                <w:sz w:val="21"/>
                <w:szCs w:val="21"/>
              </w:rPr>
              <w:t>Arts</w:t>
            </w:r>
          </w:p>
        </w:tc>
        <w:tc>
          <w:tcPr>
            <w:tcW w:w="9450" w:type="dxa"/>
          </w:tcPr>
          <w:p w14:paraId="6E1BF17A"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Identify aesthetic, cultural, and historical dimensions of artistic traditions and techniques. </w:t>
            </w:r>
          </w:p>
          <w:p w14:paraId="6E1BF17B"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Demonstrate an understanding of creative expression by critiquing, creating, or collaborating on a specific work of art. </w:t>
            </w:r>
          </w:p>
          <w:p w14:paraId="6E1BF17C"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Express their own understanding and interpretation of works of art critically and imaginatively.</w:t>
            </w:r>
          </w:p>
        </w:tc>
      </w:tr>
      <w:tr w:rsidR="000A126D" w:rsidRPr="00795C08" w14:paraId="6E1BF182" w14:textId="77777777" w:rsidTr="005F00A4">
        <w:tc>
          <w:tcPr>
            <w:tcW w:w="1638" w:type="dxa"/>
          </w:tcPr>
          <w:p w14:paraId="6E1BF17E" w14:textId="77777777" w:rsidR="000A126D" w:rsidRPr="005F00A4" w:rsidRDefault="000A126D" w:rsidP="005F00A4">
            <w:pPr>
              <w:jc w:val="right"/>
              <w:rPr>
                <w:rFonts w:cstheme="minorHAnsi"/>
                <w:b/>
                <w:sz w:val="21"/>
                <w:szCs w:val="21"/>
              </w:rPr>
            </w:pPr>
            <w:r w:rsidRPr="005F00A4">
              <w:rPr>
                <w:rFonts w:cstheme="minorHAnsi"/>
                <w:b/>
                <w:sz w:val="21"/>
                <w:szCs w:val="21"/>
              </w:rPr>
              <w:t>Humanities</w:t>
            </w:r>
          </w:p>
        </w:tc>
        <w:tc>
          <w:tcPr>
            <w:tcW w:w="9450" w:type="dxa"/>
          </w:tcPr>
          <w:p w14:paraId="6E1BF17F"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Demonstrate an ability to read carefully, speak clearly, think critically, or write persuasively about cultures and cultural works/artifacts (including texts, images, performances, and technologies, as well as other expressions of the human condition). </w:t>
            </w:r>
          </w:p>
          <w:p w14:paraId="6E1BF180"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Identify and analyze how beliefs, values, languages, theories, or laws shape cultures and cultural works/artifacts. </w:t>
            </w:r>
          </w:p>
          <w:p w14:paraId="6E1BF181"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Engage a variety of ideas and worldviews critically by formulating reflective and informed moral, ethical, or aesthetic evaluations of cultures and cultural works/artifacts.</w:t>
            </w:r>
          </w:p>
        </w:tc>
      </w:tr>
      <w:tr w:rsidR="000A126D" w:rsidRPr="005F00A4" w14:paraId="6E1BF189" w14:textId="77777777" w:rsidTr="005F00A4">
        <w:tc>
          <w:tcPr>
            <w:tcW w:w="1638" w:type="dxa"/>
          </w:tcPr>
          <w:p w14:paraId="6E1BF183" w14:textId="77777777" w:rsidR="000A126D" w:rsidRPr="004F612D" w:rsidRDefault="000A126D" w:rsidP="005F00A4">
            <w:pPr>
              <w:jc w:val="right"/>
              <w:rPr>
                <w:rFonts w:cstheme="minorHAnsi"/>
                <w:b/>
                <w:sz w:val="21"/>
                <w:szCs w:val="21"/>
              </w:rPr>
            </w:pPr>
            <w:r w:rsidRPr="004F612D">
              <w:rPr>
                <w:rFonts w:cstheme="minorHAnsi"/>
                <w:b/>
                <w:sz w:val="21"/>
                <w:szCs w:val="21"/>
              </w:rPr>
              <w:t>Historical Perspectives</w:t>
            </w:r>
          </w:p>
        </w:tc>
        <w:tc>
          <w:tcPr>
            <w:tcW w:w="9450" w:type="dxa"/>
          </w:tcPr>
          <w:p w14:paraId="6E1BF184"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Describe events from past cultures, societies, or civilizations. </w:t>
            </w:r>
          </w:p>
          <w:p w14:paraId="6E1BF185"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Recognize the varieties of evidence that historians use to offer diverse perspectives on the meaning of the past. </w:t>
            </w:r>
          </w:p>
          <w:p w14:paraId="6E1BF186"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Identify the role of human agency in shaping events and historical change. </w:t>
            </w:r>
          </w:p>
          <w:p w14:paraId="6E1BF187"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Explain historical causality. </w:t>
            </w:r>
          </w:p>
          <w:p w14:paraId="6E1BF188"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Evaluate competing historical claims that frequently inform the present.</w:t>
            </w:r>
          </w:p>
        </w:tc>
      </w:tr>
      <w:tr w:rsidR="000A126D" w:rsidRPr="005F00A4" w14:paraId="6E1BF18E" w14:textId="77777777" w:rsidTr="005F00A4">
        <w:tc>
          <w:tcPr>
            <w:tcW w:w="1638" w:type="dxa"/>
          </w:tcPr>
          <w:p w14:paraId="14C5BCF8" w14:textId="77777777" w:rsidR="004F612D" w:rsidRDefault="004F612D" w:rsidP="005F00A4">
            <w:pPr>
              <w:jc w:val="right"/>
              <w:rPr>
                <w:rFonts w:cstheme="minorHAnsi"/>
                <w:b/>
                <w:sz w:val="21"/>
                <w:szCs w:val="21"/>
              </w:rPr>
            </w:pPr>
            <w:r>
              <w:rPr>
                <w:rFonts w:cstheme="minorHAnsi"/>
                <w:b/>
                <w:sz w:val="21"/>
                <w:szCs w:val="21"/>
              </w:rPr>
              <w:lastRenderedPageBreak/>
              <w:t>Social</w:t>
            </w:r>
          </w:p>
          <w:p w14:paraId="6E1BF18A" w14:textId="00EF3E7B" w:rsidR="000A126D" w:rsidRPr="004F612D" w:rsidRDefault="000A126D" w:rsidP="005F00A4">
            <w:pPr>
              <w:jc w:val="right"/>
              <w:rPr>
                <w:rFonts w:cstheme="minorHAnsi"/>
                <w:b/>
                <w:sz w:val="21"/>
                <w:szCs w:val="21"/>
              </w:rPr>
            </w:pPr>
            <w:r w:rsidRPr="004F612D">
              <w:rPr>
                <w:rFonts w:cstheme="minorHAnsi"/>
                <w:b/>
                <w:sz w:val="21"/>
                <w:szCs w:val="21"/>
              </w:rPr>
              <w:t>Sciences</w:t>
            </w:r>
          </w:p>
        </w:tc>
        <w:tc>
          <w:tcPr>
            <w:tcW w:w="9450" w:type="dxa"/>
          </w:tcPr>
          <w:p w14:paraId="6E1BF18B"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Define the major concepts and methods used by social scientists to investigate, to analyze, or to predict human or group behavior. </w:t>
            </w:r>
          </w:p>
          <w:p w14:paraId="6E1BF18C"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Explain the major principles, models, and issues under investigation by the social sciences. </w:t>
            </w:r>
          </w:p>
          <w:p w14:paraId="6E1BF18D"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Examine how the individual or groups of individuals are influenced by social, cultural, or political institutions both in their own culture and in other cultures.</w:t>
            </w:r>
          </w:p>
        </w:tc>
      </w:tr>
      <w:tr w:rsidR="000A126D" w:rsidRPr="005F00A4" w14:paraId="6E1BF194" w14:textId="77777777" w:rsidTr="005F00A4">
        <w:tc>
          <w:tcPr>
            <w:tcW w:w="1638" w:type="dxa"/>
            <w:tcBorders>
              <w:bottom w:val="single" w:sz="4" w:space="0" w:color="auto"/>
            </w:tcBorders>
          </w:tcPr>
          <w:p w14:paraId="65BC7EC9" w14:textId="77777777" w:rsidR="000A126D" w:rsidRPr="004F612D" w:rsidRDefault="000A126D" w:rsidP="005F00A4">
            <w:pPr>
              <w:jc w:val="right"/>
              <w:rPr>
                <w:rFonts w:cstheme="minorHAnsi"/>
                <w:b/>
                <w:sz w:val="21"/>
                <w:szCs w:val="21"/>
              </w:rPr>
            </w:pPr>
            <w:r w:rsidRPr="004F612D">
              <w:rPr>
                <w:rFonts w:cstheme="minorHAnsi"/>
                <w:b/>
                <w:sz w:val="21"/>
                <w:szCs w:val="21"/>
              </w:rPr>
              <w:t>Natural Sciences</w:t>
            </w:r>
          </w:p>
          <w:p w14:paraId="0B58C60E" w14:textId="77777777" w:rsidR="00775067" w:rsidRPr="005F00A4" w:rsidRDefault="00775067" w:rsidP="005F00A4">
            <w:pPr>
              <w:jc w:val="right"/>
              <w:rPr>
                <w:rFonts w:cstheme="minorHAnsi"/>
                <w:sz w:val="13"/>
                <w:szCs w:val="21"/>
              </w:rPr>
            </w:pPr>
          </w:p>
          <w:p w14:paraId="6E1BF18F" w14:textId="132623BA" w:rsidR="00775067" w:rsidRPr="005F00A4" w:rsidRDefault="00775067" w:rsidP="005F00A4">
            <w:pPr>
              <w:jc w:val="right"/>
              <w:rPr>
                <w:rFonts w:cstheme="minorHAnsi"/>
                <w:sz w:val="21"/>
                <w:szCs w:val="21"/>
              </w:rPr>
            </w:pPr>
            <w:r w:rsidRPr="005F00A4">
              <w:rPr>
                <w:rFonts w:cstheme="minorHAnsi"/>
                <w:sz w:val="19"/>
                <w:szCs w:val="21"/>
              </w:rPr>
              <w:t>(</w:t>
            </w:r>
            <w:r w:rsidR="005F00A4" w:rsidRPr="005F00A4">
              <w:rPr>
                <w:rFonts w:cstheme="minorHAnsi"/>
                <w:sz w:val="19"/>
                <w:szCs w:val="21"/>
              </w:rPr>
              <w:t xml:space="preserve">includes required </w:t>
            </w:r>
            <w:r w:rsidRPr="005F00A4">
              <w:rPr>
                <w:rFonts w:cstheme="minorHAnsi"/>
                <w:sz w:val="19"/>
                <w:szCs w:val="21"/>
              </w:rPr>
              <w:t>lab component)</w:t>
            </w:r>
          </w:p>
        </w:tc>
        <w:tc>
          <w:tcPr>
            <w:tcW w:w="9450" w:type="dxa"/>
            <w:tcBorders>
              <w:bottom w:val="single" w:sz="4" w:space="0" w:color="auto"/>
            </w:tcBorders>
          </w:tcPr>
          <w:p w14:paraId="6E1BF190"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Identify the basic taxonomy and principles of the scientific method as it pertains to the natural, physical world. </w:t>
            </w:r>
          </w:p>
          <w:p w14:paraId="6E1BF191"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Infer relationships, make predictions and solve problems based on an analysis of evidence or scientific information. </w:t>
            </w:r>
          </w:p>
          <w:p w14:paraId="6E1BF192"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 xml:space="preserve">Apply scientific concepts, quantitative techniques and methods to solving problems and making decisions. </w:t>
            </w:r>
          </w:p>
          <w:p w14:paraId="6E1BF193" w14:textId="77777777" w:rsidR="000A126D" w:rsidRPr="005F00A4" w:rsidRDefault="000A126D" w:rsidP="005F00A4">
            <w:pPr>
              <w:pStyle w:val="PlainText"/>
              <w:numPr>
                <w:ilvl w:val="0"/>
                <w:numId w:val="21"/>
              </w:numPr>
              <w:ind w:left="252" w:hanging="180"/>
              <w:rPr>
                <w:rFonts w:asciiTheme="minorHAnsi" w:hAnsiTheme="minorHAnsi" w:cstheme="minorHAnsi"/>
              </w:rPr>
            </w:pPr>
            <w:r w:rsidRPr="005F00A4">
              <w:rPr>
                <w:rFonts w:asciiTheme="minorHAnsi" w:hAnsiTheme="minorHAnsi" w:cstheme="minorHAnsi"/>
              </w:rPr>
              <w:t>Describe the relevance of some aspect of the natural science to their lives and society.</w:t>
            </w:r>
          </w:p>
        </w:tc>
      </w:tr>
      <w:tr w:rsidR="000A126D" w:rsidRPr="004F612D" w14:paraId="6E1BF196" w14:textId="77777777" w:rsidTr="005F00A4">
        <w:tc>
          <w:tcPr>
            <w:tcW w:w="11088" w:type="dxa"/>
            <w:gridSpan w:val="2"/>
            <w:shd w:val="clear" w:color="auto" w:fill="BFBFBF" w:themeFill="background1" w:themeFillShade="BF"/>
          </w:tcPr>
          <w:p w14:paraId="6E1BF195" w14:textId="7A1ABDD9" w:rsidR="000A126D" w:rsidRPr="004F612D" w:rsidRDefault="000A126D">
            <w:pPr>
              <w:rPr>
                <w:rFonts w:cstheme="minorHAnsi"/>
                <w:b/>
                <w:sz w:val="21"/>
                <w:szCs w:val="21"/>
              </w:rPr>
            </w:pPr>
            <w:r w:rsidRPr="004F612D">
              <w:rPr>
                <w:rFonts w:cstheme="minorHAnsi"/>
                <w:b/>
                <w:sz w:val="21"/>
                <w:szCs w:val="21"/>
              </w:rPr>
              <w:t>Cultural and Environmental Awareness</w:t>
            </w:r>
            <w:r w:rsidR="007E14F1" w:rsidRPr="004F612D">
              <w:rPr>
                <w:rFonts w:cstheme="minorHAnsi"/>
                <w:b/>
                <w:sz w:val="21"/>
                <w:szCs w:val="21"/>
              </w:rPr>
              <w:t xml:space="preserve"> Level</w:t>
            </w:r>
            <w:r w:rsidR="00795C08" w:rsidRPr="004F612D">
              <w:rPr>
                <w:rFonts w:cstheme="minorHAnsi"/>
                <w:b/>
                <w:sz w:val="21"/>
                <w:szCs w:val="21"/>
              </w:rPr>
              <w:t>:</w:t>
            </w:r>
          </w:p>
        </w:tc>
      </w:tr>
      <w:tr w:rsidR="000A126D" w:rsidRPr="005F00A4" w14:paraId="6E1BF19A" w14:textId="77777777" w:rsidTr="005F00A4">
        <w:tc>
          <w:tcPr>
            <w:tcW w:w="1638" w:type="dxa"/>
          </w:tcPr>
          <w:p w14:paraId="6E1BF197" w14:textId="77777777" w:rsidR="000A126D" w:rsidRPr="004F612D" w:rsidRDefault="000A126D" w:rsidP="005F00A4">
            <w:pPr>
              <w:jc w:val="right"/>
              <w:rPr>
                <w:rFonts w:cstheme="minorHAnsi"/>
                <w:b/>
                <w:sz w:val="21"/>
                <w:szCs w:val="21"/>
              </w:rPr>
            </w:pPr>
            <w:r w:rsidRPr="004F612D">
              <w:rPr>
                <w:rFonts w:cstheme="minorHAnsi"/>
                <w:b/>
                <w:sz w:val="21"/>
                <w:szCs w:val="21"/>
              </w:rPr>
              <w:t>U.S. Diversity</w:t>
            </w:r>
          </w:p>
        </w:tc>
        <w:tc>
          <w:tcPr>
            <w:tcW w:w="9450" w:type="dxa"/>
          </w:tcPr>
          <w:p w14:paraId="6E1BF198" w14:textId="77777777" w:rsidR="000A126D" w:rsidRPr="005F00A4" w:rsidRDefault="000A126D" w:rsidP="005F00A4">
            <w:pPr>
              <w:pStyle w:val="PlainText"/>
              <w:numPr>
                <w:ilvl w:val="0"/>
                <w:numId w:val="23"/>
              </w:numPr>
              <w:ind w:left="252" w:hanging="180"/>
              <w:rPr>
                <w:rFonts w:asciiTheme="minorHAnsi" w:hAnsiTheme="minorHAnsi" w:cstheme="minorHAnsi"/>
              </w:rPr>
            </w:pPr>
            <w:r w:rsidRPr="005F00A4">
              <w:rPr>
                <w:rFonts w:asciiTheme="minorHAnsi" w:hAnsiTheme="minorHAnsi" w:cstheme="minorHAnsi"/>
              </w:rPr>
              <w:t xml:space="preserve">Describe the various dimensions of diversity and marginalization within the United States. </w:t>
            </w:r>
          </w:p>
          <w:p w14:paraId="6E1BF199" w14:textId="77777777" w:rsidR="000A126D" w:rsidRPr="005F00A4" w:rsidRDefault="000A126D" w:rsidP="005F00A4">
            <w:pPr>
              <w:pStyle w:val="PlainText"/>
              <w:numPr>
                <w:ilvl w:val="0"/>
                <w:numId w:val="23"/>
              </w:numPr>
              <w:ind w:left="252" w:hanging="180"/>
              <w:rPr>
                <w:rFonts w:asciiTheme="minorHAnsi" w:hAnsiTheme="minorHAnsi" w:cstheme="minorHAnsi"/>
              </w:rPr>
            </w:pPr>
            <w:r w:rsidRPr="005F00A4">
              <w:rPr>
                <w:rFonts w:asciiTheme="minorHAnsi" w:hAnsiTheme="minorHAnsi" w:cstheme="minorHAnsi"/>
              </w:rPr>
              <w:t>Explain the means by which one or more persistently marginalized groups in the U.S. have negotiated the conditions of their marginalization.</w:t>
            </w:r>
          </w:p>
        </w:tc>
      </w:tr>
      <w:tr w:rsidR="000A126D" w:rsidRPr="005F00A4" w14:paraId="6E1BF19E" w14:textId="77777777" w:rsidTr="005F00A4">
        <w:tc>
          <w:tcPr>
            <w:tcW w:w="1638" w:type="dxa"/>
          </w:tcPr>
          <w:p w14:paraId="6E1BF19B" w14:textId="77777777" w:rsidR="000A126D" w:rsidRPr="004F612D" w:rsidRDefault="000A126D" w:rsidP="005F00A4">
            <w:pPr>
              <w:jc w:val="right"/>
              <w:rPr>
                <w:rFonts w:cstheme="minorHAnsi"/>
                <w:b/>
                <w:sz w:val="21"/>
                <w:szCs w:val="21"/>
              </w:rPr>
            </w:pPr>
            <w:r w:rsidRPr="004F612D">
              <w:rPr>
                <w:rFonts w:cstheme="minorHAnsi"/>
                <w:b/>
                <w:sz w:val="21"/>
                <w:szCs w:val="21"/>
              </w:rPr>
              <w:t>Global Awareness</w:t>
            </w:r>
          </w:p>
        </w:tc>
        <w:tc>
          <w:tcPr>
            <w:tcW w:w="9450" w:type="dxa"/>
          </w:tcPr>
          <w:p w14:paraId="6E1BF19C" w14:textId="77777777" w:rsidR="000A126D" w:rsidRPr="005F00A4" w:rsidRDefault="000A126D" w:rsidP="005F00A4">
            <w:pPr>
              <w:pStyle w:val="PlainText"/>
              <w:numPr>
                <w:ilvl w:val="0"/>
                <w:numId w:val="23"/>
              </w:numPr>
              <w:ind w:left="252" w:hanging="180"/>
              <w:rPr>
                <w:rFonts w:asciiTheme="minorHAnsi" w:hAnsiTheme="minorHAnsi" w:cstheme="minorHAnsi"/>
              </w:rPr>
            </w:pPr>
            <w:r w:rsidRPr="005F00A4">
              <w:rPr>
                <w:rFonts w:asciiTheme="minorHAnsi" w:hAnsiTheme="minorHAnsi" w:cstheme="minorHAnsi"/>
              </w:rPr>
              <w:t xml:space="preserve">Identify and explain various components of a culture that is distinct from those found within the United States. </w:t>
            </w:r>
          </w:p>
          <w:p w14:paraId="6E1BF19D" w14:textId="77777777" w:rsidR="000A126D" w:rsidRPr="005F00A4" w:rsidRDefault="000A126D" w:rsidP="005F00A4">
            <w:pPr>
              <w:pStyle w:val="PlainText"/>
              <w:numPr>
                <w:ilvl w:val="0"/>
                <w:numId w:val="23"/>
              </w:numPr>
              <w:ind w:left="252" w:hanging="180"/>
              <w:rPr>
                <w:rFonts w:asciiTheme="minorHAnsi" w:hAnsiTheme="minorHAnsi" w:cstheme="minorHAnsi"/>
              </w:rPr>
            </w:pPr>
            <w:r w:rsidRPr="005F00A4">
              <w:rPr>
                <w:rFonts w:asciiTheme="minorHAnsi" w:hAnsiTheme="minorHAnsi" w:cstheme="minorHAnsi"/>
              </w:rPr>
              <w:t>Analyze how cultural similarities and differences are negotiated in ways that help shape the modern world.</w:t>
            </w:r>
          </w:p>
        </w:tc>
      </w:tr>
      <w:tr w:rsidR="000A126D" w:rsidRPr="005F00A4" w14:paraId="6E1BF1A3" w14:textId="77777777" w:rsidTr="005F00A4">
        <w:tc>
          <w:tcPr>
            <w:tcW w:w="1638" w:type="dxa"/>
            <w:tcBorders>
              <w:bottom w:val="single" w:sz="4" w:space="0" w:color="auto"/>
            </w:tcBorders>
          </w:tcPr>
          <w:p w14:paraId="6E1BF19F" w14:textId="77777777" w:rsidR="000A126D" w:rsidRPr="004F612D" w:rsidRDefault="000A126D" w:rsidP="005F00A4">
            <w:pPr>
              <w:jc w:val="right"/>
              <w:rPr>
                <w:rFonts w:cstheme="minorHAnsi"/>
                <w:b/>
                <w:sz w:val="21"/>
                <w:szCs w:val="21"/>
              </w:rPr>
            </w:pPr>
            <w:r w:rsidRPr="004F612D">
              <w:rPr>
                <w:rFonts w:cstheme="minorHAnsi"/>
                <w:b/>
                <w:sz w:val="21"/>
                <w:szCs w:val="21"/>
              </w:rPr>
              <w:t>Environmental Responsibility</w:t>
            </w:r>
          </w:p>
        </w:tc>
        <w:tc>
          <w:tcPr>
            <w:tcW w:w="9450" w:type="dxa"/>
            <w:tcBorders>
              <w:bottom w:val="single" w:sz="4" w:space="0" w:color="auto"/>
            </w:tcBorders>
          </w:tcPr>
          <w:p w14:paraId="6E1BF1A0" w14:textId="77777777" w:rsidR="000A126D" w:rsidRPr="005F00A4" w:rsidRDefault="000A126D" w:rsidP="005F00A4">
            <w:pPr>
              <w:pStyle w:val="PlainText"/>
              <w:numPr>
                <w:ilvl w:val="0"/>
                <w:numId w:val="23"/>
              </w:numPr>
              <w:ind w:left="252" w:hanging="180"/>
              <w:rPr>
                <w:rFonts w:asciiTheme="minorHAnsi" w:hAnsiTheme="minorHAnsi" w:cstheme="minorHAnsi"/>
              </w:rPr>
            </w:pPr>
            <w:r w:rsidRPr="005F00A4">
              <w:rPr>
                <w:rFonts w:asciiTheme="minorHAnsi" w:hAnsiTheme="minorHAnsi" w:cstheme="minorHAnsi"/>
              </w:rPr>
              <w:t xml:space="preserve">Recognize areas of interaction between human society and the natural environment. </w:t>
            </w:r>
          </w:p>
          <w:p w14:paraId="6E1BF1A1" w14:textId="77777777" w:rsidR="000A126D" w:rsidRPr="005F00A4" w:rsidRDefault="000A126D" w:rsidP="005F00A4">
            <w:pPr>
              <w:pStyle w:val="PlainText"/>
              <w:numPr>
                <w:ilvl w:val="0"/>
                <w:numId w:val="23"/>
              </w:numPr>
              <w:ind w:left="252" w:hanging="180"/>
              <w:rPr>
                <w:rFonts w:asciiTheme="minorHAnsi" w:hAnsiTheme="minorHAnsi" w:cstheme="minorHAnsi"/>
              </w:rPr>
            </w:pPr>
            <w:r w:rsidRPr="005F00A4">
              <w:rPr>
                <w:rFonts w:asciiTheme="minorHAnsi" w:hAnsiTheme="minorHAnsi" w:cstheme="minorHAnsi"/>
              </w:rPr>
              <w:t xml:space="preserve">Identify the individual, social, cultural, and ecological factors that influence environmental sustainability. </w:t>
            </w:r>
          </w:p>
          <w:p w14:paraId="6E1BF1A2" w14:textId="77777777" w:rsidR="000A126D" w:rsidRPr="005F00A4" w:rsidRDefault="000A126D" w:rsidP="005F00A4">
            <w:pPr>
              <w:pStyle w:val="PlainText"/>
              <w:numPr>
                <w:ilvl w:val="0"/>
                <w:numId w:val="23"/>
              </w:numPr>
              <w:ind w:left="252" w:hanging="180"/>
              <w:rPr>
                <w:rFonts w:asciiTheme="minorHAnsi" w:hAnsiTheme="minorHAnsi" w:cstheme="minorHAnsi"/>
              </w:rPr>
            </w:pPr>
            <w:r w:rsidRPr="005F00A4">
              <w:rPr>
                <w:rFonts w:asciiTheme="minorHAnsi" w:hAnsiTheme="minorHAnsi" w:cstheme="minorHAnsi"/>
              </w:rPr>
              <w:t>Evaluate competing scientific claims that inform environmental debates.</w:t>
            </w:r>
          </w:p>
        </w:tc>
      </w:tr>
      <w:tr w:rsidR="000A126D" w:rsidRPr="004F612D" w14:paraId="6E1BF1A5" w14:textId="77777777" w:rsidTr="005F00A4">
        <w:tc>
          <w:tcPr>
            <w:tcW w:w="11088" w:type="dxa"/>
            <w:gridSpan w:val="2"/>
            <w:shd w:val="clear" w:color="auto" w:fill="BFBFBF" w:themeFill="background1" w:themeFillShade="BF"/>
          </w:tcPr>
          <w:p w14:paraId="6E1BF1A4" w14:textId="77777777" w:rsidR="000A126D" w:rsidRPr="004F612D" w:rsidRDefault="000A126D">
            <w:pPr>
              <w:rPr>
                <w:rFonts w:cstheme="minorHAnsi"/>
                <w:b/>
                <w:sz w:val="21"/>
                <w:szCs w:val="21"/>
              </w:rPr>
            </w:pPr>
            <w:r w:rsidRPr="004F612D">
              <w:rPr>
                <w:rFonts w:cstheme="minorHAnsi"/>
                <w:b/>
                <w:sz w:val="21"/>
                <w:szCs w:val="21"/>
              </w:rPr>
              <w:t>Integration</w:t>
            </w:r>
            <w:r w:rsidR="00795C08" w:rsidRPr="004F612D">
              <w:rPr>
                <w:rFonts w:cstheme="minorHAnsi"/>
                <w:b/>
                <w:sz w:val="21"/>
                <w:szCs w:val="21"/>
              </w:rPr>
              <w:t xml:space="preserve"> Level:</w:t>
            </w:r>
          </w:p>
        </w:tc>
      </w:tr>
      <w:tr w:rsidR="000A126D" w:rsidRPr="005F00A4" w14:paraId="6E1BF1A9" w14:textId="77777777" w:rsidTr="005F00A4">
        <w:tc>
          <w:tcPr>
            <w:tcW w:w="1638" w:type="dxa"/>
          </w:tcPr>
          <w:p w14:paraId="6E1BF1A6" w14:textId="77777777" w:rsidR="000A126D" w:rsidRPr="004F612D" w:rsidRDefault="000A126D" w:rsidP="005F00A4">
            <w:pPr>
              <w:jc w:val="right"/>
              <w:rPr>
                <w:rFonts w:cstheme="minorHAnsi"/>
                <w:b/>
                <w:sz w:val="21"/>
                <w:szCs w:val="21"/>
              </w:rPr>
            </w:pPr>
            <w:r w:rsidRPr="004F612D">
              <w:rPr>
                <w:rFonts w:cstheme="minorHAnsi"/>
                <w:b/>
                <w:sz w:val="21"/>
                <w:szCs w:val="21"/>
              </w:rPr>
              <w:t>Experiential Learning</w:t>
            </w:r>
          </w:p>
        </w:tc>
        <w:tc>
          <w:tcPr>
            <w:tcW w:w="9450" w:type="dxa"/>
          </w:tcPr>
          <w:p w14:paraId="6E1BF1A7" w14:textId="77777777" w:rsidR="000A126D" w:rsidRPr="005F00A4" w:rsidRDefault="000A126D" w:rsidP="005F00A4">
            <w:pPr>
              <w:pStyle w:val="PlainText"/>
              <w:numPr>
                <w:ilvl w:val="0"/>
                <w:numId w:val="25"/>
              </w:numPr>
              <w:ind w:left="252" w:hanging="180"/>
              <w:rPr>
                <w:rFonts w:asciiTheme="minorHAnsi" w:hAnsiTheme="minorHAnsi" w:cstheme="minorHAnsi"/>
              </w:rPr>
            </w:pPr>
            <w:r w:rsidRPr="005F00A4">
              <w:rPr>
                <w:rFonts w:asciiTheme="minorHAnsi" w:hAnsiTheme="minorHAnsi" w:cstheme="minorHAnsi"/>
              </w:rPr>
              <w:t xml:space="preserve">Complete an approved experiential learning project. </w:t>
            </w:r>
          </w:p>
          <w:p w14:paraId="6E1BF1A8" w14:textId="77777777" w:rsidR="000A126D" w:rsidRPr="005F00A4" w:rsidRDefault="000A126D" w:rsidP="005F00A4">
            <w:pPr>
              <w:pStyle w:val="PlainText"/>
              <w:numPr>
                <w:ilvl w:val="0"/>
                <w:numId w:val="25"/>
              </w:numPr>
              <w:ind w:left="252" w:hanging="180"/>
              <w:rPr>
                <w:rFonts w:asciiTheme="minorHAnsi" w:hAnsiTheme="minorHAnsi" w:cstheme="minorHAnsi"/>
              </w:rPr>
            </w:pPr>
            <w:r w:rsidRPr="005F00A4">
              <w:rPr>
                <w:rFonts w:asciiTheme="minorHAnsi" w:hAnsiTheme="minorHAnsi" w:cstheme="minorHAnsi"/>
              </w:rPr>
              <w:t>Reflect on the experiential learning project in order to gain further understanding of their university education, and an enhanced sense of one’s personal responsibility as a member of a larger community.</w:t>
            </w:r>
          </w:p>
        </w:tc>
      </w:tr>
      <w:tr w:rsidR="000A126D" w:rsidRPr="005F00A4" w14:paraId="6E1BF1AD" w14:textId="77777777" w:rsidTr="005F00A4">
        <w:tc>
          <w:tcPr>
            <w:tcW w:w="1638" w:type="dxa"/>
            <w:tcBorders>
              <w:bottom w:val="single" w:sz="4" w:space="0" w:color="auto"/>
            </w:tcBorders>
          </w:tcPr>
          <w:p w14:paraId="6E1BF1AA" w14:textId="77777777" w:rsidR="000A126D" w:rsidRPr="004F612D" w:rsidRDefault="000A126D" w:rsidP="005F00A4">
            <w:pPr>
              <w:jc w:val="right"/>
              <w:rPr>
                <w:rFonts w:cstheme="minorHAnsi"/>
                <w:b/>
                <w:sz w:val="21"/>
                <w:szCs w:val="21"/>
              </w:rPr>
            </w:pPr>
            <w:r w:rsidRPr="004F612D">
              <w:rPr>
                <w:rFonts w:cstheme="minorHAnsi"/>
                <w:b/>
                <w:sz w:val="21"/>
                <w:szCs w:val="21"/>
              </w:rPr>
              <w:t>Interdisciplinary Studies</w:t>
            </w:r>
          </w:p>
        </w:tc>
        <w:tc>
          <w:tcPr>
            <w:tcW w:w="9450" w:type="dxa"/>
            <w:tcBorders>
              <w:bottom w:val="single" w:sz="4" w:space="0" w:color="auto"/>
            </w:tcBorders>
          </w:tcPr>
          <w:p w14:paraId="6E1BF1AB" w14:textId="77777777" w:rsidR="000A126D" w:rsidRPr="005F00A4" w:rsidRDefault="000A126D" w:rsidP="005F00A4">
            <w:pPr>
              <w:pStyle w:val="PlainText"/>
              <w:numPr>
                <w:ilvl w:val="0"/>
                <w:numId w:val="25"/>
              </w:numPr>
              <w:ind w:left="252" w:hanging="180"/>
              <w:rPr>
                <w:rFonts w:asciiTheme="minorHAnsi" w:hAnsiTheme="minorHAnsi" w:cstheme="minorHAnsi"/>
              </w:rPr>
            </w:pPr>
            <w:r w:rsidRPr="005F00A4">
              <w:rPr>
                <w:rFonts w:asciiTheme="minorHAnsi" w:hAnsiTheme="minorHAnsi" w:cstheme="minorHAnsi"/>
              </w:rPr>
              <w:t xml:space="preserve">Identify an issue or question related to the interdisciplinary course(s), and describe what each discipline contributes to an understanding of that issue. </w:t>
            </w:r>
          </w:p>
          <w:p w14:paraId="6E1BF1AC" w14:textId="77777777" w:rsidR="000A126D" w:rsidRPr="005F00A4" w:rsidRDefault="000A126D" w:rsidP="005F00A4">
            <w:pPr>
              <w:pStyle w:val="PlainText"/>
              <w:numPr>
                <w:ilvl w:val="0"/>
                <w:numId w:val="25"/>
              </w:numPr>
              <w:ind w:left="252" w:hanging="180"/>
              <w:rPr>
                <w:rFonts w:asciiTheme="minorHAnsi" w:hAnsiTheme="minorHAnsi" w:cstheme="minorHAnsi"/>
              </w:rPr>
            </w:pPr>
            <w:r w:rsidRPr="005F00A4">
              <w:rPr>
                <w:rFonts w:asciiTheme="minorHAnsi" w:hAnsiTheme="minorHAnsi" w:cstheme="minorHAnsi"/>
              </w:rPr>
              <w:t>Explain the benefits of being able to combine these contributions.</w:t>
            </w:r>
          </w:p>
        </w:tc>
      </w:tr>
      <w:tr w:rsidR="000A126D" w:rsidRPr="004F612D" w14:paraId="6E1BF1AF" w14:textId="77777777" w:rsidTr="005F00A4">
        <w:tc>
          <w:tcPr>
            <w:tcW w:w="11088" w:type="dxa"/>
            <w:gridSpan w:val="2"/>
            <w:shd w:val="clear" w:color="auto" w:fill="BFBFBF" w:themeFill="background1" w:themeFillShade="BF"/>
          </w:tcPr>
          <w:p w14:paraId="6E1BF1AE" w14:textId="77777777" w:rsidR="000A126D" w:rsidRPr="004F612D" w:rsidRDefault="00795C08">
            <w:pPr>
              <w:rPr>
                <w:rFonts w:cstheme="minorHAnsi"/>
                <w:b/>
                <w:sz w:val="21"/>
                <w:szCs w:val="21"/>
              </w:rPr>
            </w:pPr>
            <w:r w:rsidRPr="004F612D">
              <w:rPr>
                <w:rFonts w:cstheme="minorHAnsi"/>
                <w:b/>
                <w:sz w:val="21"/>
                <w:szCs w:val="21"/>
              </w:rPr>
              <w:t>Embedded in the Major:</w:t>
            </w:r>
          </w:p>
        </w:tc>
      </w:tr>
      <w:tr w:rsidR="000A126D" w:rsidRPr="005F00A4" w14:paraId="6E1BF1B3" w14:textId="77777777" w:rsidTr="005F00A4">
        <w:tc>
          <w:tcPr>
            <w:tcW w:w="1638" w:type="dxa"/>
          </w:tcPr>
          <w:p w14:paraId="6E1BF1B0" w14:textId="77777777" w:rsidR="000A126D" w:rsidRPr="004F612D" w:rsidRDefault="000A126D" w:rsidP="005F00A4">
            <w:pPr>
              <w:jc w:val="right"/>
              <w:rPr>
                <w:rFonts w:cstheme="minorHAnsi"/>
                <w:b/>
                <w:sz w:val="21"/>
                <w:szCs w:val="21"/>
              </w:rPr>
            </w:pPr>
            <w:r w:rsidRPr="004F612D">
              <w:rPr>
                <w:rFonts w:cstheme="minorHAnsi"/>
                <w:b/>
                <w:sz w:val="21"/>
                <w:szCs w:val="21"/>
              </w:rPr>
              <w:t>Communication in the Major</w:t>
            </w:r>
          </w:p>
        </w:tc>
        <w:tc>
          <w:tcPr>
            <w:tcW w:w="9450" w:type="dxa"/>
          </w:tcPr>
          <w:p w14:paraId="6E1BF1B1" w14:textId="77777777" w:rsidR="000A126D" w:rsidRPr="005F00A4" w:rsidRDefault="000A126D" w:rsidP="005F00A4">
            <w:pPr>
              <w:pStyle w:val="PlainText"/>
              <w:numPr>
                <w:ilvl w:val="0"/>
                <w:numId w:val="25"/>
              </w:numPr>
              <w:ind w:left="252" w:hanging="180"/>
              <w:rPr>
                <w:rFonts w:asciiTheme="minorHAnsi" w:hAnsiTheme="minorHAnsi" w:cstheme="minorHAnsi"/>
              </w:rPr>
            </w:pPr>
            <w:r w:rsidRPr="005F00A4">
              <w:rPr>
                <w:rFonts w:asciiTheme="minorHAnsi" w:hAnsiTheme="minorHAnsi" w:cstheme="minorHAnsi"/>
              </w:rPr>
              <w:t xml:space="preserve">Apply discipline-specific standards of oral and written communication to compose an articulate, grammatically correct, and organized presentation/piece of writing with properly documented and supported ideas, evidence, and information suitable to the topic, purpose, and audience. </w:t>
            </w:r>
          </w:p>
          <w:p w14:paraId="6E1BF1B2" w14:textId="77777777" w:rsidR="000A126D" w:rsidRPr="005F00A4" w:rsidRDefault="000A126D" w:rsidP="005F00A4">
            <w:pPr>
              <w:pStyle w:val="PlainText"/>
              <w:numPr>
                <w:ilvl w:val="0"/>
                <w:numId w:val="25"/>
              </w:numPr>
              <w:ind w:left="252" w:hanging="180"/>
              <w:rPr>
                <w:rFonts w:asciiTheme="minorHAnsi" w:hAnsiTheme="minorHAnsi" w:cstheme="minorHAnsi"/>
              </w:rPr>
            </w:pPr>
            <w:r w:rsidRPr="005F00A4">
              <w:rPr>
                <w:rFonts w:asciiTheme="minorHAnsi" w:hAnsiTheme="minorHAnsi" w:cstheme="minorHAnsi"/>
              </w:rPr>
              <w:t>Critique their own and others’ writing/oral presentations to provide effective and useful feedback to improve their communication.</w:t>
            </w:r>
          </w:p>
        </w:tc>
      </w:tr>
      <w:tr w:rsidR="000A126D" w:rsidRPr="005F00A4" w14:paraId="6E1BF1B7" w14:textId="77777777" w:rsidTr="005F00A4">
        <w:tc>
          <w:tcPr>
            <w:tcW w:w="1638" w:type="dxa"/>
          </w:tcPr>
          <w:p w14:paraId="6E1BF1B4" w14:textId="77777777" w:rsidR="000A126D" w:rsidRPr="004F612D" w:rsidRDefault="000A126D" w:rsidP="005F00A4">
            <w:pPr>
              <w:jc w:val="right"/>
              <w:rPr>
                <w:rFonts w:cstheme="minorHAnsi"/>
                <w:b/>
                <w:sz w:val="21"/>
                <w:szCs w:val="21"/>
              </w:rPr>
            </w:pPr>
            <w:r w:rsidRPr="004F612D">
              <w:rPr>
                <w:rFonts w:cstheme="minorHAnsi"/>
                <w:b/>
                <w:sz w:val="21"/>
                <w:szCs w:val="21"/>
              </w:rPr>
              <w:t>Capstone Experience in the Major</w:t>
            </w:r>
          </w:p>
        </w:tc>
        <w:tc>
          <w:tcPr>
            <w:tcW w:w="9450" w:type="dxa"/>
          </w:tcPr>
          <w:p w14:paraId="6E1BF1B5" w14:textId="77777777" w:rsidR="000A126D" w:rsidRPr="005F00A4" w:rsidRDefault="000A126D" w:rsidP="005F00A4">
            <w:pPr>
              <w:pStyle w:val="PlainText"/>
              <w:numPr>
                <w:ilvl w:val="0"/>
                <w:numId w:val="25"/>
              </w:numPr>
              <w:ind w:left="252" w:hanging="180"/>
              <w:rPr>
                <w:rFonts w:asciiTheme="minorHAnsi" w:hAnsiTheme="minorHAnsi" w:cstheme="minorHAnsi"/>
              </w:rPr>
            </w:pPr>
            <w:r w:rsidRPr="005F00A4">
              <w:rPr>
                <w:rFonts w:asciiTheme="minorHAnsi" w:hAnsiTheme="minorHAnsi" w:cstheme="minorHAnsi"/>
              </w:rPr>
              <w:t xml:space="preserve">Complete a project that integrates knowledge, skills, and experiences related to those General Education Program Outcomes appropriate to the discipline. </w:t>
            </w:r>
          </w:p>
          <w:p w14:paraId="6E1BF1B6" w14:textId="77777777" w:rsidR="000A126D" w:rsidRPr="005F00A4" w:rsidRDefault="000A126D" w:rsidP="005F00A4">
            <w:pPr>
              <w:pStyle w:val="PlainText"/>
              <w:numPr>
                <w:ilvl w:val="0"/>
                <w:numId w:val="25"/>
              </w:numPr>
              <w:ind w:left="252" w:hanging="180"/>
              <w:rPr>
                <w:rFonts w:asciiTheme="minorHAnsi" w:hAnsiTheme="minorHAnsi" w:cstheme="minorHAnsi"/>
              </w:rPr>
            </w:pPr>
            <w:r w:rsidRPr="005F00A4">
              <w:rPr>
                <w:rFonts w:asciiTheme="minorHAnsi" w:hAnsiTheme="minorHAnsi" w:cstheme="minorHAnsi"/>
              </w:rPr>
              <w:t>Demonstrate skills, processes, and resources needed to make a successful transition from college to the world beyond.</w:t>
            </w:r>
          </w:p>
        </w:tc>
      </w:tr>
    </w:tbl>
    <w:p w14:paraId="6E1BF1B8" w14:textId="77777777" w:rsidR="000A126D" w:rsidRPr="005F00A4" w:rsidRDefault="000A126D" w:rsidP="005F00A4">
      <w:pPr>
        <w:spacing w:after="0" w:line="240" w:lineRule="auto"/>
        <w:rPr>
          <w:rFonts w:cstheme="minorHAnsi"/>
          <w:sz w:val="21"/>
          <w:szCs w:val="21"/>
        </w:rPr>
      </w:pPr>
    </w:p>
    <w:p w14:paraId="22647514" w14:textId="77777777" w:rsidR="005F00A4" w:rsidRPr="005F00A4" w:rsidRDefault="005F00A4" w:rsidP="005F00A4">
      <w:pPr>
        <w:spacing w:after="0" w:line="240" w:lineRule="auto"/>
        <w:rPr>
          <w:rFonts w:cstheme="minorHAnsi"/>
          <w:sz w:val="21"/>
          <w:szCs w:val="21"/>
        </w:rPr>
      </w:pPr>
    </w:p>
    <w:tbl>
      <w:tblPr>
        <w:tblStyle w:val="TableGrid"/>
        <w:tblW w:w="0" w:type="auto"/>
        <w:tblLook w:val="04A0" w:firstRow="1" w:lastRow="0" w:firstColumn="1" w:lastColumn="0" w:noHBand="0" w:noVBand="1"/>
      </w:tblPr>
      <w:tblGrid>
        <w:gridCol w:w="11088"/>
      </w:tblGrid>
      <w:tr w:rsidR="005F00A4" w:rsidRPr="005F00A4" w14:paraId="59CB92EC" w14:textId="77777777" w:rsidTr="005F00A4">
        <w:tc>
          <w:tcPr>
            <w:tcW w:w="11088" w:type="dxa"/>
            <w:shd w:val="clear" w:color="auto" w:fill="BFBFBF" w:themeFill="background1" w:themeFillShade="BF"/>
          </w:tcPr>
          <w:p w14:paraId="585541D6" w14:textId="49D7B26A" w:rsidR="005F00A4" w:rsidRPr="004F612D" w:rsidRDefault="005F00A4" w:rsidP="005F00A4">
            <w:pPr>
              <w:jc w:val="center"/>
              <w:rPr>
                <w:rFonts w:cstheme="minorHAnsi"/>
                <w:b/>
                <w:sz w:val="32"/>
                <w:szCs w:val="32"/>
              </w:rPr>
            </w:pPr>
            <w:r w:rsidRPr="004F612D">
              <w:rPr>
                <w:rFonts w:cstheme="minorHAnsi"/>
                <w:b/>
                <w:sz w:val="32"/>
                <w:szCs w:val="32"/>
              </w:rPr>
              <w:t>Four (4) Overarching General Education Program Learning Outcomes</w:t>
            </w:r>
          </w:p>
        </w:tc>
      </w:tr>
      <w:tr w:rsidR="005F00A4" w:rsidRPr="005F00A4" w14:paraId="2B5C6B63" w14:textId="77777777" w:rsidTr="00E4149A">
        <w:trPr>
          <w:trHeight w:val="2362"/>
        </w:trPr>
        <w:tc>
          <w:tcPr>
            <w:tcW w:w="11088" w:type="dxa"/>
          </w:tcPr>
          <w:p w14:paraId="5EC0BD76" w14:textId="77777777" w:rsidR="005F00A4" w:rsidRPr="004F612D" w:rsidRDefault="005F00A4" w:rsidP="005F00A4">
            <w:pPr>
              <w:rPr>
                <w:rFonts w:cstheme="minorHAnsi"/>
                <w:i/>
                <w:sz w:val="15"/>
                <w:szCs w:val="21"/>
              </w:rPr>
            </w:pPr>
          </w:p>
          <w:p w14:paraId="05D7310C" w14:textId="77777777" w:rsidR="005F00A4" w:rsidRPr="005F00A4" w:rsidRDefault="005F00A4" w:rsidP="004F612D">
            <w:pPr>
              <w:ind w:left="720"/>
              <w:rPr>
                <w:rFonts w:cstheme="minorHAnsi"/>
                <w:i/>
                <w:sz w:val="21"/>
                <w:szCs w:val="21"/>
              </w:rPr>
            </w:pPr>
            <w:r w:rsidRPr="005F00A4">
              <w:rPr>
                <w:rFonts w:cstheme="minorHAnsi"/>
                <w:i/>
                <w:sz w:val="21"/>
                <w:szCs w:val="21"/>
              </w:rPr>
              <w:t>Upon completion of the GEP curriculum, students will be able to</w:t>
            </w:r>
            <w:r w:rsidRPr="005F00A4">
              <w:rPr>
                <w:rFonts w:cstheme="minorHAnsi"/>
                <w:i/>
                <w:sz w:val="21"/>
                <w:szCs w:val="21"/>
              </w:rPr>
              <w:t>:</w:t>
            </w:r>
          </w:p>
          <w:p w14:paraId="233133BB" w14:textId="77777777" w:rsidR="005F00A4" w:rsidRPr="004F612D" w:rsidRDefault="005F00A4" w:rsidP="004F612D">
            <w:pPr>
              <w:ind w:left="720"/>
              <w:rPr>
                <w:rFonts w:cstheme="minorHAnsi"/>
                <w:i/>
                <w:sz w:val="15"/>
                <w:szCs w:val="21"/>
              </w:rPr>
            </w:pPr>
          </w:p>
          <w:p w14:paraId="2B8145F1" w14:textId="77777777" w:rsidR="005F00A4" w:rsidRPr="005F00A4" w:rsidRDefault="005F00A4" w:rsidP="004F612D">
            <w:pPr>
              <w:pStyle w:val="ListParagraph"/>
              <w:numPr>
                <w:ilvl w:val="0"/>
                <w:numId w:val="27"/>
              </w:numPr>
              <w:spacing w:after="60"/>
              <w:ind w:left="1440" w:right="1152"/>
              <w:contextualSpacing w:val="0"/>
              <w:rPr>
                <w:rFonts w:cstheme="minorHAnsi"/>
                <w:sz w:val="21"/>
                <w:szCs w:val="21"/>
              </w:rPr>
            </w:pPr>
            <w:r w:rsidRPr="005F00A4">
              <w:rPr>
                <w:rFonts w:cstheme="minorHAnsi"/>
                <w:sz w:val="21"/>
                <w:szCs w:val="21"/>
              </w:rPr>
              <w:t>Demonstrate critical thinking, quantitative, and communication skills necessary to succeed in a rapidly changing global society.</w:t>
            </w:r>
          </w:p>
          <w:p w14:paraId="19650B51" w14:textId="77777777" w:rsidR="005F00A4" w:rsidRPr="005F00A4" w:rsidRDefault="005F00A4" w:rsidP="004F612D">
            <w:pPr>
              <w:pStyle w:val="ListParagraph"/>
              <w:numPr>
                <w:ilvl w:val="0"/>
                <w:numId w:val="27"/>
              </w:numPr>
              <w:spacing w:after="60"/>
              <w:ind w:left="1440" w:right="1152"/>
              <w:contextualSpacing w:val="0"/>
              <w:rPr>
                <w:rFonts w:cstheme="minorHAnsi"/>
                <w:sz w:val="21"/>
                <w:szCs w:val="21"/>
              </w:rPr>
            </w:pPr>
            <w:r w:rsidRPr="005F00A4">
              <w:rPr>
                <w:rFonts w:cstheme="minorHAnsi"/>
                <w:sz w:val="21"/>
                <w:szCs w:val="21"/>
              </w:rPr>
              <w:t>Demonstrate broad knowledge of the physical, social, and cultural worlds as well as the methods by which this knowledge is produced.</w:t>
            </w:r>
          </w:p>
          <w:p w14:paraId="546FD0F5" w14:textId="77777777" w:rsidR="005F00A4" w:rsidRPr="005F00A4" w:rsidRDefault="005F00A4" w:rsidP="004F612D">
            <w:pPr>
              <w:pStyle w:val="ListParagraph"/>
              <w:numPr>
                <w:ilvl w:val="0"/>
                <w:numId w:val="27"/>
              </w:numPr>
              <w:spacing w:after="60"/>
              <w:ind w:left="1440" w:right="1152"/>
              <w:contextualSpacing w:val="0"/>
              <w:rPr>
                <w:rFonts w:cstheme="minorHAnsi"/>
                <w:sz w:val="21"/>
                <w:szCs w:val="21"/>
              </w:rPr>
            </w:pPr>
            <w:r w:rsidRPr="005F00A4">
              <w:rPr>
                <w:rFonts w:cstheme="minorHAnsi"/>
                <w:sz w:val="21"/>
                <w:szCs w:val="21"/>
              </w:rPr>
              <w:t>Recognize that responsible global citizenship involves personal accountability, social equity, and environmental sustainability.</w:t>
            </w:r>
          </w:p>
          <w:p w14:paraId="2157A579" w14:textId="77777777" w:rsidR="005F00A4" w:rsidRDefault="005F00A4" w:rsidP="004F612D">
            <w:pPr>
              <w:pStyle w:val="ListParagraph"/>
              <w:numPr>
                <w:ilvl w:val="0"/>
                <w:numId w:val="27"/>
              </w:numPr>
              <w:spacing w:after="60"/>
              <w:ind w:left="1440" w:right="1152"/>
              <w:contextualSpacing w:val="0"/>
              <w:rPr>
                <w:rFonts w:cstheme="minorHAnsi"/>
                <w:sz w:val="21"/>
                <w:szCs w:val="21"/>
              </w:rPr>
            </w:pPr>
            <w:r w:rsidRPr="005F00A4">
              <w:rPr>
                <w:rFonts w:cstheme="minorHAnsi"/>
                <w:sz w:val="21"/>
                <w:szCs w:val="21"/>
              </w:rPr>
              <w:t>Apply their knowledge and skills, working in interdisciplinary ways to solve problems.</w:t>
            </w:r>
          </w:p>
          <w:p w14:paraId="5D915450" w14:textId="209D03FA" w:rsidR="004F612D" w:rsidRPr="004F612D" w:rsidRDefault="004F612D" w:rsidP="004F612D">
            <w:pPr>
              <w:spacing w:after="60"/>
              <w:ind w:right="1152"/>
              <w:rPr>
                <w:rFonts w:cstheme="minorHAnsi"/>
                <w:sz w:val="11"/>
                <w:szCs w:val="21"/>
              </w:rPr>
            </w:pPr>
            <w:bookmarkStart w:id="0" w:name="_GoBack"/>
            <w:bookmarkEnd w:id="0"/>
          </w:p>
        </w:tc>
      </w:tr>
    </w:tbl>
    <w:p w14:paraId="4045AFFD" w14:textId="77777777" w:rsidR="005F00A4" w:rsidRPr="005F00A4" w:rsidRDefault="005F00A4" w:rsidP="005F00A4">
      <w:pPr>
        <w:spacing w:after="0" w:line="240" w:lineRule="auto"/>
        <w:rPr>
          <w:rFonts w:cstheme="minorHAnsi"/>
          <w:sz w:val="2"/>
          <w:szCs w:val="21"/>
        </w:rPr>
      </w:pPr>
    </w:p>
    <w:sectPr w:rsidR="005F00A4" w:rsidRPr="005F00A4" w:rsidSect="005F00A4">
      <w:headerReference w:type="first" r:id="rId12"/>
      <w:pgSz w:w="12240" w:h="15840"/>
      <w:pgMar w:top="720" w:right="576" w:bottom="576" w:left="576"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BBF8E" w14:textId="77777777" w:rsidR="00475FAA" w:rsidRDefault="00475FAA" w:rsidP="005F00A4">
      <w:pPr>
        <w:spacing w:after="0" w:line="240" w:lineRule="auto"/>
      </w:pPr>
      <w:r>
        <w:separator/>
      </w:r>
    </w:p>
  </w:endnote>
  <w:endnote w:type="continuationSeparator" w:id="0">
    <w:p w14:paraId="250127B0" w14:textId="77777777" w:rsidR="00475FAA" w:rsidRDefault="00475FAA" w:rsidP="005F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76DF" w14:textId="77777777" w:rsidR="00475FAA" w:rsidRDefault="00475FAA" w:rsidP="005F00A4">
      <w:pPr>
        <w:spacing w:after="0" w:line="240" w:lineRule="auto"/>
      </w:pPr>
      <w:r>
        <w:separator/>
      </w:r>
    </w:p>
  </w:footnote>
  <w:footnote w:type="continuationSeparator" w:id="0">
    <w:p w14:paraId="32796908" w14:textId="77777777" w:rsidR="00475FAA" w:rsidRDefault="00475FAA" w:rsidP="005F0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2C180" w14:textId="542BEA7B" w:rsidR="005F00A4" w:rsidRPr="005F00A4" w:rsidRDefault="005F00A4" w:rsidP="005F00A4">
    <w:pPr>
      <w:pStyle w:val="Header"/>
      <w:jc w:val="center"/>
      <w:rPr>
        <w:sz w:val="24"/>
      </w:rPr>
    </w:pPr>
    <w:r w:rsidRPr="005F00A4">
      <w:rPr>
        <w:rFonts w:cstheme="minorHAnsi"/>
        <w:b/>
        <w:sz w:val="32"/>
      </w:rPr>
      <w:t>GEP Category Learning Outcomes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C79"/>
    <w:multiLevelType w:val="hybridMultilevel"/>
    <w:tmpl w:val="42787D54"/>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692E"/>
    <w:multiLevelType w:val="hybridMultilevel"/>
    <w:tmpl w:val="8F80BF04"/>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63BB2"/>
    <w:multiLevelType w:val="hybridMultilevel"/>
    <w:tmpl w:val="A302F3CA"/>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0504D"/>
    <w:multiLevelType w:val="hybridMultilevel"/>
    <w:tmpl w:val="D6949598"/>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15B48"/>
    <w:multiLevelType w:val="hybridMultilevel"/>
    <w:tmpl w:val="489E5938"/>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3627"/>
    <w:multiLevelType w:val="hybridMultilevel"/>
    <w:tmpl w:val="7D5A66FC"/>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D3479"/>
    <w:multiLevelType w:val="hybridMultilevel"/>
    <w:tmpl w:val="A8E4D104"/>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A0AD1"/>
    <w:multiLevelType w:val="hybridMultilevel"/>
    <w:tmpl w:val="3DCE7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B30DA4"/>
    <w:multiLevelType w:val="hybridMultilevel"/>
    <w:tmpl w:val="F09E61A0"/>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6DA4"/>
    <w:multiLevelType w:val="hybridMultilevel"/>
    <w:tmpl w:val="D34EF8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ABE5109"/>
    <w:multiLevelType w:val="hybridMultilevel"/>
    <w:tmpl w:val="1CA06CE2"/>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954A1"/>
    <w:multiLevelType w:val="hybridMultilevel"/>
    <w:tmpl w:val="C73A94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A5F7379"/>
    <w:multiLevelType w:val="hybridMultilevel"/>
    <w:tmpl w:val="93E2BB52"/>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E769E"/>
    <w:multiLevelType w:val="hybridMultilevel"/>
    <w:tmpl w:val="C9E026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4B8738A7"/>
    <w:multiLevelType w:val="hybridMultilevel"/>
    <w:tmpl w:val="3A646D30"/>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F7940"/>
    <w:multiLevelType w:val="hybridMultilevel"/>
    <w:tmpl w:val="D0FAA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E56B6"/>
    <w:multiLevelType w:val="hybridMultilevel"/>
    <w:tmpl w:val="9F782E9E"/>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C2443"/>
    <w:multiLevelType w:val="hybridMultilevel"/>
    <w:tmpl w:val="A84C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733846"/>
    <w:multiLevelType w:val="hybridMultilevel"/>
    <w:tmpl w:val="322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4573C"/>
    <w:multiLevelType w:val="hybridMultilevel"/>
    <w:tmpl w:val="DFC08A9E"/>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A1C90"/>
    <w:multiLevelType w:val="hybridMultilevel"/>
    <w:tmpl w:val="DEBED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7541A3"/>
    <w:multiLevelType w:val="hybridMultilevel"/>
    <w:tmpl w:val="3308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A86FDA"/>
    <w:multiLevelType w:val="hybridMultilevel"/>
    <w:tmpl w:val="86108958"/>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480BE6"/>
    <w:multiLevelType w:val="hybridMultilevel"/>
    <w:tmpl w:val="4B460958"/>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14F70"/>
    <w:multiLevelType w:val="hybridMultilevel"/>
    <w:tmpl w:val="7A687C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75F8726B"/>
    <w:multiLevelType w:val="hybridMultilevel"/>
    <w:tmpl w:val="9EEC6214"/>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C8568D"/>
    <w:multiLevelType w:val="hybridMultilevel"/>
    <w:tmpl w:val="6ED0A56E"/>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
  </w:num>
  <w:num w:numId="4">
    <w:abstractNumId w:val="6"/>
  </w:num>
  <w:num w:numId="5">
    <w:abstractNumId w:val="4"/>
  </w:num>
  <w:num w:numId="6">
    <w:abstractNumId w:val="23"/>
  </w:num>
  <w:num w:numId="7">
    <w:abstractNumId w:val="26"/>
  </w:num>
  <w:num w:numId="8">
    <w:abstractNumId w:val="25"/>
  </w:num>
  <w:num w:numId="9">
    <w:abstractNumId w:val="5"/>
  </w:num>
  <w:num w:numId="10">
    <w:abstractNumId w:val="12"/>
  </w:num>
  <w:num w:numId="11">
    <w:abstractNumId w:val="22"/>
  </w:num>
  <w:num w:numId="12">
    <w:abstractNumId w:val="8"/>
  </w:num>
  <w:num w:numId="13">
    <w:abstractNumId w:val="0"/>
  </w:num>
  <w:num w:numId="14">
    <w:abstractNumId w:val="1"/>
  </w:num>
  <w:num w:numId="15">
    <w:abstractNumId w:val="14"/>
  </w:num>
  <w:num w:numId="16">
    <w:abstractNumId w:val="10"/>
  </w:num>
  <w:num w:numId="17">
    <w:abstractNumId w:val="3"/>
  </w:num>
  <w:num w:numId="18">
    <w:abstractNumId w:val="9"/>
  </w:num>
  <w:num w:numId="19">
    <w:abstractNumId w:val="24"/>
  </w:num>
  <w:num w:numId="20">
    <w:abstractNumId w:val="20"/>
  </w:num>
  <w:num w:numId="21">
    <w:abstractNumId w:val="13"/>
  </w:num>
  <w:num w:numId="22">
    <w:abstractNumId w:val="7"/>
  </w:num>
  <w:num w:numId="23">
    <w:abstractNumId w:val="11"/>
  </w:num>
  <w:num w:numId="24">
    <w:abstractNumId w:val="17"/>
  </w:num>
  <w:num w:numId="25">
    <w:abstractNumId w:val="21"/>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6D"/>
    <w:rsid w:val="000A126D"/>
    <w:rsid w:val="00475FAA"/>
    <w:rsid w:val="004F612D"/>
    <w:rsid w:val="005F00A4"/>
    <w:rsid w:val="006B3A5C"/>
    <w:rsid w:val="00775067"/>
    <w:rsid w:val="00795C08"/>
    <w:rsid w:val="007E14F1"/>
    <w:rsid w:val="00EB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A12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126D"/>
    <w:rPr>
      <w:rFonts w:ascii="Consolas" w:hAnsi="Consolas"/>
      <w:sz w:val="21"/>
      <w:szCs w:val="21"/>
    </w:rPr>
  </w:style>
  <w:style w:type="paragraph" w:styleId="Header">
    <w:name w:val="header"/>
    <w:basedOn w:val="Normal"/>
    <w:link w:val="HeaderChar"/>
    <w:uiPriority w:val="99"/>
    <w:unhideWhenUsed/>
    <w:rsid w:val="005F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A4"/>
  </w:style>
  <w:style w:type="paragraph" w:styleId="Footer">
    <w:name w:val="footer"/>
    <w:basedOn w:val="Normal"/>
    <w:link w:val="FooterChar"/>
    <w:uiPriority w:val="99"/>
    <w:unhideWhenUsed/>
    <w:rsid w:val="005F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0A4"/>
  </w:style>
  <w:style w:type="paragraph" w:styleId="ListParagraph">
    <w:name w:val="List Paragraph"/>
    <w:basedOn w:val="Normal"/>
    <w:uiPriority w:val="34"/>
    <w:qFormat/>
    <w:rsid w:val="005F0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A12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126D"/>
    <w:rPr>
      <w:rFonts w:ascii="Consolas" w:hAnsi="Consolas"/>
      <w:sz w:val="21"/>
      <w:szCs w:val="21"/>
    </w:rPr>
  </w:style>
  <w:style w:type="paragraph" w:styleId="Header">
    <w:name w:val="header"/>
    <w:basedOn w:val="Normal"/>
    <w:link w:val="HeaderChar"/>
    <w:uiPriority w:val="99"/>
    <w:unhideWhenUsed/>
    <w:rsid w:val="005F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A4"/>
  </w:style>
  <w:style w:type="paragraph" w:styleId="Footer">
    <w:name w:val="footer"/>
    <w:basedOn w:val="Normal"/>
    <w:link w:val="FooterChar"/>
    <w:uiPriority w:val="99"/>
    <w:unhideWhenUsed/>
    <w:rsid w:val="005F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0A4"/>
  </w:style>
  <w:style w:type="paragraph" w:styleId="ListParagraph">
    <w:name w:val="List Paragraph"/>
    <w:basedOn w:val="Normal"/>
    <w:uiPriority w:val="34"/>
    <w:qFormat/>
    <w:rsid w:val="005F0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AA27C130E8B418A5FFD1D5161B45C" ma:contentTypeVersion="0" ma:contentTypeDescription="Create a new document." ma:contentTypeScope="" ma:versionID="3aed3b475ac28a2d0bf85f94b55ded96">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BF2B-CE48-4668-9407-F5516520E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9C8A5-76E8-47AB-9576-E8F0AE69C24C}">
  <ds:schemaRefs>
    <ds:schemaRef ds:uri="http://schemas.microsoft.com/sharepoint/v3/contenttype/forms"/>
  </ds:schemaRefs>
</ds:datastoreItem>
</file>

<file path=customXml/itemProps3.xml><?xml version="1.0" encoding="utf-8"?>
<ds:datastoreItem xmlns:ds="http://schemas.openxmlformats.org/officeDocument/2006/customXml" ds:itemID="{B73591FC-4AAE-4632-BC29-958DF477968C}"/>
</file>

<file path=customXml/itemProps4.xml><?xml version="1.0" encoding="utf-8"?>
<ds:datastoreItem xmlns:ds="http://schemas.openxmlformats.org/officeDocument/2006/customXml" ds:itemID="{24A03D64-A33F-4C17-9450-8245946B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James</dc:creator>
  <cp:lastModifiedBy>Sage, James</cp:lastModifiedBy>
  <cp:revision>5</cp:revision>
  <dcterms:created xsi:type="dcterms:W3CDTF">2011-11-22T13:07:00Z</dcterms:created>
  <dcterms:modified xsi:type="dcterms:W3CDTF">2014-05-16T17:27:00Z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0x0101000A4AA27C130E8B418A5FFD1D5161B45C</vt:lpwstr>
  </property>
</Properties>
</file>